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7023A7">
        <w:rPr>
          <w:rFonts w:ascii="Arial" w:hAnsi="Arial" w:cs="Arial"/>
          <w:sz w:val="22"/>
        </w:rPr>
        <w:t>alisco siendo las 14  horas con 39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7023A7">
        <w:rPr>
          <w:rFonts w:ascii="Arial" w:hAnsi="Arial" w:cs="Arial"/>
          <w:sz w:val="22"/>
        </w:rPr>
        <w:t xml:space="preserve"> 11 de Abril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9358BF">
              <w:rPr>
                <w:rFonts w:ascii="Arial" w:hAnsi="Arial" w:cs="Arial"/>
                <w:sz w:val="22"/>
              </w:rPr>
              <w:t>LIC. HUGO ARMANDO MARTINEZ ZACARIAS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Reglamentos.</w:t>
            </w:r>
            <w:r w:rsidR="009358BF">
              <w:rPr>
                <w:rFonts w:ascii="Arial" w:hAnsi="Arial" w:cs="Arial"/>
                <w:sz w:val="22"/>
              </w:rPr>
              <w:t xml:space="preserve"> </w:t>
            </w:r>
            <w:r w:rsidR="009358B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9358BF">
              <w:rPr>
                <w:rFonts w:ascii="Arial" w:hAnsi="Arial" w:cs="Arial"/>
                <w:sz w:val="22"/>
              </w:rPr>
              <w:t>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Empresarial. MIGUEL ANGEL MARQUEZ DE ALBA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B30E78" w:rsidRPr="00B30E78">
              <w:rPr>
                <w:rFonts w:ascii="Arial" w:hAnsi="Arial" w:cs="Arial"/>
                <w:sz w:val="22"/>
              </w:rPr>
              <w:t xml:space="preserve"> LIC. DENIS ALEJANDRA PLASCENCIA CAMPOS</w:t>
            </w:r>
            <w:r w:rsidR="006B7801">
              <w:rPr>
                <w:rFonts w:ascii="Arial" w:hAnsi="Arial" w:cs="Arial"/>
                <w:sz w:val="22"/>
              </w:rPr>
              <w:t>.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PUMQ. HILARIO XOCHIPA </w:t>
            </w:r>
            <w:r w:rsidR="009358BF">
              <w:rPr>
                <w:rFonts w:ascii="Arial" w:hAnsi="Arial" w:cs="Arial"/>
                <w:sz w:val="22"/>
              </w:rPr>
              <w:lastRenderedPageBreak/>
              <w:t>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9358BF">
              <w:rPr>
                <w:rFonts w:ascii="Arial" w:hAnsi="Arial" w:cs="Arial"/>
                <w:sz w:val="22"/>
              </w:rPr>
              <w:t xml:space="preserve"> LIC. JUANA YARELI MARQUEZ CRUZ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9358BF">
              <w:rPr>
                <w:rFonts w:ascii="Arial" w:hAnsi="Arial" w:cs="Arial"/>
                <w:sz w:val="22"/>
              </w:rPr>
              <w:t xml:space="preserve"> YAMILET MARQUEZ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E25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E25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6B780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6B780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E25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E25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bookmarkStart w:id="0" w:name="_GoBack"/>
      <w:bookmarkEnd w:id="0"/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  <w:r w:rsidR="008C769F" w:rsidRPr="008C769F">
        <w:rPr>
          <w:rFonts w:ascii="Arial" w:hAnsi="Arial" w:cs="Arial"/>
          <w:b/>
          <w:sz w:val="22"/>
        </w:rPr>
        <w:t>acuerdo.-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476044" w:rsidRDefault="00797F31" w:rsidP="004760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0E25AA">
        <w:rPr>
          <w:rFonts w:ascii="Arial" w:hAnsi="Arial" w:cs="Arial"/>
          <w:sz w:val="22"/>
        </w:rPr>
        <w:t xml:space="preserve">acta anterior </w:t>
      </w:r>
      <w:r w:rsidR="00476044" w:rsidRPr="00476044">
        <w:rPr>
          <w:rFonts w:ascii="Arial" w:hAnsi="Arial" w:cs="Arial"/>
          <w:sz w:val="22"/>
        </w:rPr>
        <w:t>y aprobación del orden del día.- acuerdo.- una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6B7801">
        <w:rPr>
          <w:rFonts w:ascii="Arial" w:hAnsi="Arial" w:cs="Arial"/>
          <w:sz w:val="22"/>
        </w:rPr>
        <w:t xml:space="preserve"> circulado, es aprobado por 14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corresponde a una mayoría calificada se aprueba el orden del día sometido.</w:t>
      </w:r>
      <w:r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F007FB" w:rsidRDefault="00797F31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  <w:r w:rsidR="006571FF">
        <w:rPr>
          <w:rFonts w:ascii="Arial" w:hAnsi="Arial" w:cs="Arial"/>
          <w:sz w:val="20"/>
          <w:szCs w:val="20"/>
        </w:rPr>
        <w:t>Se presenta informe general a</w:t>
      </w:r>
      <w:r w:rsidR="0041669D">
        <w:rPr>
          <w:rFonts w:ascii="Arial" w:hAnsi="Arial" w:cs="Arial"/>
          <w:sz w:val="20"/>
          <w:szCs w:val="20"/>
        </w:rPr>
        <w:t xml:space="preserve"> la Direcciones</w:t>
      </w:r>
      <w:r w:rsidR="00476044">
        <w:rPr>
          <w:rFonts w:ascii="Arial" w:hAnsi="Arial" w:cs="Arial"/>
          <w:sz w:val="20"/>
          <w:szCs w:val="20"/>
        </w:rPr>
        <w:t xml:space="preserve"> en </w:t>
      </w:r>
      <w:r w:rsidR="000727B1">
        <w:rPr>
          <w:rFonts w:ascii="Arial" w:hAnsi="Arial" w:cs="Arial"/>
          <w:sz w:val="20"/>
          <w:szCs w:val="20"/>
        </w:rPr>
        <w:t>relación</w:t>
      </w:r>
      <w:r w:rsidR="006571FF">
        <w:rPr>
          <w:rFonts w:ascii="Arial" w:hAnsi="Arial" w:cs="Arial"/>
          <w:sz w:val="20"/>
          <w:szCs w:val="20"/>
        </w:rPr>
        <w:t xml:space="preserve"> a los siguientes temas.</w:t>
      </w: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</w:p>
    <w:p w:rsidR="00D80C8A" w:rsidRPr="0019044F" w:rsidRDefault="006571FF" w:rsidP="00191FF0">
      <w:pPr>
        <w:jc w:val="both"/>
        <w:rPr>
          <w:rFonts w:ascii="Arial" w:hAnsi="Arial" w:cs="Arial"/>
          <w:b/>
          <w:sz w:val="20"/>
          <w:szCs w:val="20"/>
        </w:rPr>
      </w:pPr>
      <w:r w:rsidRPr="0019044F">
        <w:rPr>
          <w:rFonts w:ascii="Arial" w:hAnsi="Arial" w:cs="Arial"/>
          <w:b/>
          <w:sz w:val="20"/>
          <w:szCs w:val="20"/>
        </w:rPr>
        <w:t xml:space="preserve">Por el Director de </w:t>
      </w:r>
      <w:r w:rsidR="000727B1" w:rsidRPr="0019044F">
        <w:rPr>
          <w:rFonts w:ascii="Arial" w:hAnsi="Arial" w:cs="Arial"/>
          <w:b/>
          <w:sz w:val="20"/>
          <w:szCs w:val="20"/>
        </w:rPr>
        <w:t>Padrón</w:t>
      </w:r>
      <w:r w:rsidRPr="0019044F">
        <w:rPr>
          <w:rFonts w:ascii="Arial" w:hAnsi="Arial" w:cs="Arial"/>
          <w:b/>
          <w:sz w:val="20"/>
          <w:szCs w:val="20"/>
        </w:rPr>
        <w:t xml:space="preserve"> y Licencias.</w:t>
      </w: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</w:p>
    <w:p w:rsidR="006B7801" w:rsidRDefault="006B7801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INGRESOS APROXIMADOS   año 2018   $3</w:t>
      </w:r>
      <w:r w:rsidR="007023A7">
        <w:rPr>
          <w:rFonts w:ascii="Arial" w:hAnsi="Arial" w:cs="Arial"/>
          <w:sz w:val="20"/>
          <w:szCs w:val="20"/>
        </w:rPr>
        <w:t>, 217,404.00</w:t>
      </w:r>
      <w:r>
        <w:rPr>
          <w:rFonts w:ascii="Arial" w:hAnsi="Arial" w:cs="Arial"/>
          <w:sz w:val="20"/>
          <w:szCs w:val="20"/>
        </w:rPr>
        <w:t xml:space="preserve"> pesos aproximadamente                                          </w:t>
      </w:r>
    </w:p>
    <w:p w:rsidR="006B7801" w:rsidRDefault="007023A7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Periodo</w:t>
      </w:r>
      <w:r w:rsidR="006B7801">
        <w:rPr>
          <w:rFonts w:ascii="Arial" w:hAnsi="Arial" w:cs="Arial"/>
          <w:sz w:val="20"/>
          <w:szCs w:val="20"/>
        </w:rPr>
        <w:t xml:space="preserve"> de enero a marzo       año 2019   </w:t>
      </w:r>
      <w:r>
        <w:rPr>
          <w:rFonts w:ascii="Arial" w:hAnsi="Arial" w:cs="Arial"/>
          <w:sz w:val="20"/>
          <w:szCs w:val="20"/>
        </w:rPr>
        <w:t xml:space="preserve"> </w:t>
      </w:r>
      <w:r w:rsidR="006B7801">
        <w:rPr>
          <w:rFonts w:ascii="Arial" w:hAnsi="Arial" w:cs="Arial"/>
          <w:sz w:val="20"/>
          <w:szCs w:val="20"/>
        </w:rPr>
        <w:t>$2</w:t>
      </w:r>
      <w:r>
        <w:rPr>
          <w:rFonts w:ascii="Arial" w:hAnsi="Arial" w:cs="Arial"/>
          <w:sz w:val="20"/>
          <w:szCs w:val="20"/>
        </w:rPr>
        <w:t>, 399,237.00</w:t>
      </w:r>
      <w:r w:rsidR="006B7801">
        <w:rPr>
          <w:rFonts w:ascii="Arial" w:hAnsi="Arial" w:cs="Arial"/>
          <w:sz w:val="20"/>
          <w:szCs w:val="20"/>
        </w:rPr>
        <w:t xml:space="preserve"> pesos aproximadamente</w:t>
      </w:r>
    </w:p>
    <w:p w:rsidR="00263000" w:rsidRDefault="00263000" w:rsidP="00191FF0">
      <w:pPr>
        <w:jc w:val="both"/>
        <w:rPr>
          <w:rFonts w:ascii="Arial" w:hAnsi="Arial" w:cs="Arial"/>
          <w:sz w:val="20"/>
          <w:szCs w:val="20"/>
        </w:rPr>
      </w:pPr>
    </w:p>
    <w:p w:rsidR="00F2585A" w:rsidRPr="0019044F" w:rsidRDefault="006571FF" w:rsidP="006571FF">
      <w:pPr>
        <w:jc w:val="both"/>
        <w:rPr>
          <w:rFonts w:ascii="Arial" w:hAnsi="Arial" w:cs="Arial"/>
          <w:b/>
          <w:sz w:val="20"/>
          <w:szCs w:val="20"/>
        </w:rPr>
      </w:pPr>
      <w:r w:rsidRPr="0019044F">
        <w:rPr>
          <w:rFonts w:ascii="Arial" w:hAnsi="Arial" w:cs="Arial"/>
          <w:b/>
          <w:sz w:val="20"/>
          <w:szCs w:val="20"/>
        </w:rPr>
        <w:t>Por el Tesorero Municipal.</w:t>
      </w:r>
    </w:p>
    <w:p w:rsidR="00263000" w:rsidRDefault="007023A7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asuntos que tratar.</w:t>
      </w:r>
    </w:p>
    <w:p w:rsidR="0041669D" w:rsidRPr="007023A7" w:rsidRDefault="0041669D" w:rsidP="006571FF">
      <w:pPr>
        <w:jc w:val="both"/>
        <w:rPr>
          <w:rFonts w:ascii="Arial" w:hAnsi="Arial" w:cs="Arial"/>
          <w:b/>
          <w:sz w:val="20"/>
          <w:szCs w:val="20"/>
        </w:rPr>
      </w:pPr>
      <w:r w:rsidRPr="0019044F">
        <w:rPr>
          <w:rFonts w:ascii="Arial" w:hAnsi="Arial" w:cs="Arial"/>
          <w:b/>
          <w:sz w:val="20"/>
          <w:szCs w:val="20"/>
        </w:rPr>
        <w:t>Por la Dirección de Comercio.</w:t>
      </w:r>
    </w:p>
    <w:p w:rsidR="00263000" w:rsidRDefault="007023A7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Ingresos aproximado periodo enero a marzo 2019 $1, 731,712.00 pesos</w:t>
      </w:r>
    </w:p>
    <w:p w:rsidR="0041669D" w:rsidRPr="0019044F" w:rsidRDefault="0041669D" w:rsidP="006571FF">
      <w:pPr>
        <w:jc w:val="both"/>
        <w:rPr>
          <w:rFonts w:ascii="Arial" w:hAnsi="Arial" w:cs="Arial"/>
          <w:b/>
          <w:sz w:val="20"/>
          <w:szCs w:val="20"/>
        </w:rPr>
      </w:pPr>
    </w:p>
    <w:p w:rsidR="0041669D" w:rsidRDefault="0041669D" w:rsidP="006571FF">
      <w:pPr>
        <w:jc w:val="both"/>
        <w:rPr>
          <w:rFonts w:ascii="Arial" w:hAnsi="Arial" w:cs="Arial"/>
          <w:b/>
          <w:sz w:val="20"/>
          <w:szCs w:val="20"/>
        </w:rPr>
      </w:pPr>
      <w:r w:rsidRPr="0019044F">
        <w:rPr>
          <w:rFonts w:ascii="Arial" w:hAnsi="Arial" w:cs="Arial"/>
          <w:b/>
          <w:sz w:val="20"/>
          <w:szCs w:val="20"/>
        </w:rPr>
        <w:t>Por el Director de Seguridad Pública.</w:t>
      </w:r>
    </w:p>
    <w:p w:rsidR="007023A7" w:rsidRDefault="007023A7" w:rsidP="006571FF">
      <w:pPr>
        <w:jc w:val="both"/>
        <w:rPr>
          <w:rFonts w:ascii="Arial" w:hAnsi="Arial" w:cs="Arial"/>
          <w:sz w:val="20"/>
          <w:szCs w:val="20"/>
        </w:rPr>
      </w:pPr>
    </w:p>
    <w:p w:rsidR="0019044F" w:rsidRDefault="007023A7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relación a los giros de control especial, se ha encontrado la presencia de menores de edad en bares y discotecas, a lo que señala la importancia de aplicar operativo de vigilancia a dichos establecimientos, creando una logística en conjunto con las direcciones de COMERCIO, PADRON Y LICENCIAS, JUEZ MUNICIPAL Y LA DIRECCION DE SEGURIDAD PUBLICA.</w:t>
      </w:r>
    </w:p>
    <w:p w:rsidR="00545EDA" w:rsidRDefault="00545EDA" w:rsidP="006571FF">
      <w:pPr>
        <w:jc w:val="both"/>
        <w:rPr>
          <w:rFonts w:ascii="Arial" w:hAnsi="Arial" w:cs="Arial"/>
          <w:sz w:val="20"/>
          <w:szCs w:val="20"/>
        </w:rPr>
      </w:pPr>
    </w:p>
    <w:p w:rsidR="00F007FB" w:rsidRPr="00F007FB" w:rsidRDefault="00F007FB" w:rsidP="00E161C3">
      <w:pPr>
        <w:jc w:val="both"/>
        <w:rPr>
          <w:rFonts w:ascii="Arial" w:hAnsi="Arial" w:cs="Arial"/>
          <w:sz w:val="20"/>
          <w:szCs w:val="20"/>
        </w:rPr>
      </w:pPr>
    </w:p>
    <w:p w:rsidR="002972CB" w:rsidRDefault="006571FF" w:rsidP="00E16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2585A">
        <w:rPr>
          <w:rFonts w:ascii="Arial" w:hAnsi="Arial" w:cs="Arial"/>
          <w:b/>
          <w:sz w:val="22"/>
          <w:szCs w:val="22"/>
        </w:rPr>
        <w:t xml:space="preserve">.- Se presenta por parte de la </w:t>
      </w:r>
      <w:r w:rsidR="00CA54CD">
        <w:rPr>
          <w:rFonts w:ascii="Arial" w:hAnsi="Arial" w:cs="Arial"/>
          <w:b/>
          <w:sz w:val="22"/>
          <w:szCs w:val="22"/>
        </w:rPr>
        <w:t>Dirección</w:t>
      </w:r>
      <w:r w:rsidR="00F2585A">
        <w:rPr>
          <w:rFonts w:ascii="Arial" w:hAnsi="Arial" w:cs="Arial"/>
          <w:b/>
          <w:sz w:val="22"/>
          <w:szCs w:val="22"/>
        </w:rPr>
        <w:t xml:space="preserve"> de </w:t>
      </w:r>
      <w:r w:rsidR="00CA54CD">
        <w:rPr>
          <w:rFonts w:ascii="Arial" w:hAnsi="Arial" w:cs="Arial"/>
          <w:b/>
          <w:sz w:val="22"/>
          <w:szCs w:val="22"/>
        </w:rPr>
        <w:t>Padrón</w:t>
      </w:r>
      <w:r w:rsidR="00F2585A">
        <w:rPr>
          <w:rFonts w:ascii="Arial" w:hAnsi="Arial" w:cs="Arial"/>
          <w:b/>
          <w:sz w:val="22"/>
          <w:szCs w:val="22"/>
        </w:rPr>
        <w:t xml:space="preserve"> y Licencias las solicitudes de licencia comercial con venta de alcohol con la </w:t>
      </w:r>
      <w:r w:rsidR="00CA54CD">
        <w:rPr>
          <w:rFonts w:ascii="Arial" w:hAnsi="Arial" w:cs="Arial"/>
          <w:b/>
          <w:sz w:val="22"/>
          <w:szCs w:val="22"/>
        </w:rPr>
        <w:t>relación</w:t>
      </w:r>
      <w:r w:rsidR="00F2585A">
        <w:rPr>
          <w:rFonts w:ascii="Arial" w:hAnsi="Arial" w:cs="Arial"/>
          <w:b/>
          <w:sz w:val="22"/>
          <w:szCs w:val="22"/>
        </w:rPr>
        <w:t xml:space="preserve"> siguiente:</w:t>
      </w:r>
    </w:p>
    <w:p w:rsidR="00F2585A" w:rsidRDefault="00F2585A" w:rsidP="00E161C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"/>
        <w:gridCol w:w="766"/>
        <w:gridCol w:w="5921"/>
        <w:gridCol w:w="1434"/>
      </w:tblGrid>
      <w:tr w:rsidR="00F2585A" w:rsidTr="006571FF">
        <w:tc>
          <w:tcPr>
            <w:tcW w:w="934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</w:t>
            </w:r>
          </w:p>
        </w:tc>
        <w:tc>
          <w:tcPr>
            <w:tcW w:w="766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Núm.</w:t>
            </w:r>
          </w:p>
        </w:tc>
        <w:tc>
          <w:tcPr>
            <w:tcW w:w="5921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Observación</w:t>
            </w:r>
          </w:p>
        </w:tc>
        <w:tc>
          <w:tcPr>
            <w:tcW w:w="1434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Resolución por mayoría.</w:t>
            </w:r>
          </w:p>
        </w:tc>
      </w:tr>
      <w:tr w:rsidR="00F2585A" w:rsidTr="006571FF">
        <w:tc>
          <w:tcPr>
            <w:tcW w:w="934" w:type="dxa"/>
          </w:tcPr>
          <w:p w:rsidR="00F2585A" w:rsidRDefault="007023A7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----</w:t>
            </w:r>
          </w:p>
        </w:tc>
        <w:tc>
          <w:tcPr>
            <w:tcW w:w="766" w:type="dxa"/>
          </w:tcPr>
          <w:p w:rsidR="00F2585A" w:rsidRDefault="007023A7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-----</w:t>
            </w:r>
          </w:p>
        </w:tc>
        <w:tc>
          <w:tcPr>
            <w:tcW w:w="5921" w:type="dxa"/>
          </w:tcPr>
          <w:p w:rsidR="00F2585A" w:rsidRDefault="007023A7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--------------------------------------</w:t>
            </w:r>
          </w:p>
        </w:tc>
        <w:tc>
          <w:tcPr>
            <w:tcW w:w="1434" w:type="dxa"/>
          </w:tcPr>
          <w:p w:rsidR="00F2585A" w:rsidRDefault="007023A7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------</w:t>
            </w:r>
          </w:p>
        </w:tc>
      </w:tr>
      <w:tr w:rsidR="00F2585A" w:rsidTr="006571FF">
        <w:tc>
          <w:tcPr>
            <w:tcW w:w="934" w:type="dxa"/>
          </w:tcPr>
          <w:p w:rsidR="00F2585A" w:rsidRDefault="007023A7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-----</w:t>
            </w:r>
          </w:p>
        </w:tc>
        <w:tc>
          <w:tcPr>
            <w:tcW w:w="766" w:type="dxa"/>
          </w:tcPr>
          <w:p w:rsidR="00F2585A" w:rsidRDefault="007023A7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----</w:t>
            </w:r>
          </w:p>
        </w:tc>
        <w:tc>
          <w:tcPr>
            <w:tcW w:w="5921" w:type="dxa"/>
          </w:tcPr>
          <w:p w:rsidR="00F2585A" w:rsidRDefault="007023A7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------------------------------------</w:t>
            </w:r>
          </w:p>
        </w:tc>
        <w:tc>
          <w:tcPr>
            <w:tcW w:w="1434" w:type="dxa"/>
          </w:tcPr>
          <w:p w:rsidR="00F2585A" w:rsidRDefault="007023A7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-------</w:t>
            </w:r>
          </w:p>
        </w:tc>
      </w:tr>
      <w:tr w:rsidR="00F2585A" w:rsidTr="006571FF">
        <w:tc>
          <w:tcPr>
            <w:tcW w:w="934" w:type="dxa"/>
          </w:tcPr>
          <w:p w:rsidR="00F2585A" w:rsidRDefault="007023A7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------</w:t>
            </w:r>
          </w:p>
        </w:tc>
        <w:tc>
          <w:tcPr>
            <w:tcW w:w="766" w:type="dxa"/>
          </w:tcPr>
          <w:p w:rsidR="00F2585A" w:rsidRDefault="007023A7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----</w:t>
            </w:r>
          </w:p>
        </w:tc>
        <w:tc>
          <w:tcPr>
            <w:tcW w:w="5921" w:type="dxa"/>
          </w:tcPr>
          <w:p w:rsidR="00F2585A" w:rsidRDefault="007023A7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-------------------------------------</w:t>
            </w:r>
          </w:p>
        </w:tc>
        <w:tc>
          <w:tcPr>
            <w:tcW w:w="1434" w:type="dxa"/>
          </w:tcPr>
          <w:p w:rsidR="00F2585A" w:rsidRDefault="007023A7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--------</w:t>
            </w:r>
          </w:p>
        </w:tc>
      </w:tr>
    </w:tbl>
    <w:p w:rsidR="001B5FD0" w:rsidRDefault="001B5FD0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1B5FD0" w:rsidRDefault="001B5FD0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6571FF" w:rsidRDefault="006571FF" w:rsidP="00E16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5.- Asuntos Generales.</w:t>
      </w:r>
    </w:p>
    <w:p w:rsidR="007023A7" w:rsidRDefault="007023A7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7A6AC8" w:rsidRDefault="007023A7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generara para la próxima reunión la logística para el desarrollo del operativo de vigilancia a los giros de control especial.</w:t>
      </w:r>
    </w:p>
    <w:p w:rsidR="001B5FD0" w:rsidRPr="008C769F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E161C3" w:rsidRDefault="006571FF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797F31">
        <w:rPr>
          <w:rFonts w:ascii="Arial" w:hAnsi="Arial" w:cs="Arial"/>
          <w:sz w:val="22"/>
        </w:rPr>
        <w:t xml:space="preserve">Señores integrantes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7023A7">
        <w:rPr>
          <w:rFonts w:ascii="Arial" w:hAnsi="Arial" w:cs="Arial"/>
          <w:sz w:val="22"/>
        </w:rPr>
        <w:t>15 horas con 40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7023A7">
        <w:rPr>
          <w:rFonts w:ascii="Arial" w:hAnsi="Arial" w:cs="Arial"/>
          <w:sz w:val="22"/>
        </w:rPr>
        <w:t>25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7023A7">
        <w:rPr>
          <w:rFonts w:ascii="Arial" w:hAnsi="Arial" w:cs="Arial"/>
          <w:sz w:val="22"/>
        </w:rPr>
        <w:t>abril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7023A7">
        <w:rPr>
          <w:rFonts w:ascii="Arial" w:hAnsi="Arial" w:cs="Arial"/>
          <w:sz w:val="22"/>
        </w:rPr>
        <w:t>14</w:t>
      </w:r>
      <w:r w:rsidR="007A6AC8">
        <w:rPr>
          <w:rFonts w:ascii="Arial" w:hAnsi="Arial" w:cs="Arial"/>
          <w:sz w:val="22"/>
        </w:rPr>
        <w:t>:00</w:t>
      </w:r>
      <w:r w:rsidR="008C769F" w:rsidRPr="008C769F">
        <w:rPr>
          <w:rFonts w:ascii="Arial" w:hAnsi="Arial" w:cs="Arial"/>
          <w:sz w:val="22"/>
        </w:rPr>
        <w:t xml:space="preserve"> horas, en el </w:t>
      </w:r>
      <w:r w:rsidR="004C2C99" w:rsidRPr="008C769F">
        <w:rPr>
          <w:rFonts w:ascii="Arial" w:hAnsi="Arial" w:cs="Arial"/>
          <w:sz w:val="22"/>
        </w:rPr>
        <w:t>salón</w:t>
      </w:r>
      <w:r w:rsidR="008C769F" w:rsidRPr="008C769F">
        <w:rPr>
          <w:rFonts w:ascii="Arial" w:hAnsi="Arial" w:cs="Arial"/>
          <w:sz w:val="22"/>
        </w:rPr>
        <w:t xml:space="preserve"> de sesiones de ayuntamiento, firmando los que en </w:t>
      </w:r>
      <w:r w:rsidR="008C769F" w:rsidRPr="008C769F">
        <w:rPr>
          <w:rFonts w:ascii="Arial" w:hAnsi="Arial" w:cs="Arial"/>
          <w:sz w:val="22"/>
        </w:rPr>
        <w:lastRenderedPageBreak/>
        <w:t xml:space="preserve">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 secretaria 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EE6027" w:rsidRPr="008C769F" w:rsidRDefault="00EE6027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Pr="008C769F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Director de Seguridad Pública. LIC. HUGO ARMANDO MARTINEZ ZACARIAS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Representante del Sector Empresaria</w:t>
            </w:r>
            <w:r>
              <w:rPr>
                <w:rFonts w:ascii="Arial" w:hAnsi="Arial" w:cs="Arial"/>
                <w:lang w:val="pt-PT"/>
              </w:rPr>
              <w:t>l. MIGUEL ANGEL MARQUEZ DE ALBA.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84567D">
        <w:trPr>
          <w:jc w:val="center"/>
        </w:trPr>
        <w:tc>
          <w:tcPr>
            <w:tcW w:w="4489" w:type="dxa"/>
          </w:tcPr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Pr="00BF6F58">
              <w:rPr>
                <w:rFonts w:ascii="Arial" w:hAnsi="Arial" w:cs="Arial"/>
                <w:lang w:val="pt-PT"/>
              </w:rPr>
              <w:t>. LIC. DENIS ALEJANDRA PLASCENCIA CAMPOS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84567D">
        <w:trPr>
          <w:jc w:val="center"/>
        </w:trPr>
        <w:tc>
          <w:tcPr>
            <w:tcW w:w="4489" w:type="dxa"/>
          </w:tcPr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84567D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Juez Municipal. LIC. JUANA YARELI MARQUEZ CRUZ</w:t>
            </w:r>
          </w:p>
        </w:tc>
        <w:tc>
          <w:tcPr>
            <w:tcW w:w="4490" w:type="dxa"/>
          </w:tcPr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Pr="00BF6F58">
              <w:rPr>
                <w:rFonts w:ascii="Arial" w:hAnsi="Arial" w:cs="Arial"/>
                <w:lang w:val="pt-PT"/>
              </w:rPr>
              <w:t>Delegada. YAMILET MARQUEZ 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BF6F58" w:rsidRDefault="00BF6F58">
      <w:pPr>
        <w:rPr>
          <w:rFonts w:ascii="Arial" w:hAnsi="Arial" w:cs="Arial"/>
        </w:rPr>
      </w:pPr>
    </w:p>
    <w:p w:rsidR="007A6AC8" w:rsidRDefault="007A6AC8" w:rsidP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4A4B15">
        <w:rPr>
          <w:rFonts w:ascii="Arial" w:hAnsi="Arial" w:cs="Arial"/>
        </w:rPr>
        <w:t xml:space="preserve">       _________________________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4A4B15">
        <w:rPr>
          <w:rFonts w:ascii="Arial" w:hAnsi="Arial" w:cs="Arial"/>
        </w:rPr>
        <w:t xml:space="preserve">         DIRECTORA DE TURISMO</w:t>
      </w:r>
    </w:p>
    <w:p w:rsidR="004A4B15" w:rsidRPr="008C769F" w:rsidRDefault="00263000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4A4B15">
        <w:rPr>
          <w:rFonts w:ascii="Arial" w:hAnsi="Arial" w:cs="Arial"/>
        </w:rPr>
        <w:t xml:space="preserve">       IRMA DE ALBA PADILLA.</w:t>
      </w:r>
    </w:p>
    <w:p w:rsidR="00D80C8A" w:rsidRPr="008C769F" w:rsidRDefault="00D80C8A" w:rsidP="004A4B15">
      <w:pPr>
        <w:rPr>
          <w:rFonts w:ascii="Arial" w:hAnsi="Arial" w:cs="Arial"/>
        </w:rPr>
      </w:pPr>
    </w:p>
    <w:sectPr w:rsidR="00D80C8A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AB" w:rsidRDefault="002E25AB" w:rsidP="00E161C3">
      <w:r>
        <w:separator/>
      </w:r>
    </w:p>
  </w:endnote>
  <w:endnote w:type="continuationSeparator" w:id="0">
    <w:p w:rsidR="002E25AB" w:rsidRDefault="002E25AB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jc w:val="right"/>
    </w:pPr>
  </w:p>
  <w:p w:rsidR="00A82F11" w:rsidRDefault="00A82F11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023A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023A7">
      <w:rPr>
        <w:b/>
        <w:bCs/>
        <w:noProof/>
      </w:rPr>
      <w:t>4</w:t>
    </w:r>
    <w:r>
      <w:rPr>
        <w:b/>
        <w:bCs/>
      </w:rPr>
      <w:fldChar w:fldCharType="end"/>
    </w:r>
  </w:p>
  <w:p w:rsidR="00A82F11" w:rsidRDefault="007023A7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11 de  abril</w:t>
    </w:r>
    <w:r w:rsidR="00E8675D">
      <w:t xml:space="preserve"> 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AB" w:rsidRDefault="002E25AB" w:rsidP="00E161C3">
      <w:r>
        <w:separator/>
      </w:r>
    </w:p>
  </w:footnote>
  <w:footnote w:type="continuationSeparator" w:id="0">
    <w:p w:rsidR="002E25AB" w:rsidRDefault="002E25AB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Ttulo1"/>
      <w:rPr>
        <w:b/>
      </w:rPr>
    </w:pPr>
  </w:p>
  <w:p w:rsidR="00A82F11" w:rsidRDefault="00A82F11">
    <w:pPr>
      <w:pStyle w:val="Ttulo1"/>
      <w:rPr>
        <w:b/>
      </w:rPr>
    </w:pPr>
    <w:r>
      <w:rPr>
        <w:b/>
      </w:rPr>
      <w:t xml:space="preserve">          </w:t>
    </w:r>
  </w:p>
  <w:p w:rsidR="00A82F11" w:rsidRDefault="00A82F11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</w:t>
    </w:r>
    <w:r w:rsidR="00263000">
      <w:t>05</w:t>
    </w:r>
    <w:r>
      <w:t xml:space="preserve"> </w:t>
    </w:r>
    <w:r w:rsidR="00DD792A">
      <w:t>SESIO</w:t>
    </w:r>
    <w:r w:rsidR="002546C9">
      <w:t>N ORDINARIA DE COMISION TECNICA</w:t>
    </w:r>
    <w:r w:rsidR="00DD792A">
      <w:t xml:space="preserve"> D</w:t>
    </w:r>
    <w:r w:rsidR="000847FF">
      <w:t>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0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727B1"/>
    <w:rsid w:val="00074483"/>
    <w:rsid w:val="000847FF"/>
    <w:rsid w:val="00087D0A"/>
    <w:rsid w:val="00092DC9"/>
    <w:rsid w:val="000B25C0"/>
    <w:rsid w:val="000E25AA"/>
    <w:rsid w:val="00131F44"/>
    <w:rsid w:val="00161955"/>
    <w:rsid w:val="0019044F"/>
    <w:rsid w:val="00191FF0"/>
    <w:rsid w:val="001A6262"/>
    <w:rsid w:val="001B5FD0"/>
    <w:rsid w:val="002546C9"/>
    <w:rsid w:val="00263000"/>
    <w:rsid w:val="00286173"/>
    <w:rsid w:val="00292FB9"/>
    <w:rsid w:val="00296E07"/>
    <w:rsid w:val="002972CB"/>
    <w:rsid w:val="002A1824"/>
    <w:rsid w:val="002B69AF"/>
    <w:rsid w:val="002E25AB"/>
    <w:rsid w:val="002F490B"/>
    <w:rsid w:val="003609AC"/>
    <w:rsid w:val="0041669D"/>
    <w:rsid w:val="00417402"/>
    <w:rsid w:val="004266F2"/>
    <w:rsid w:val="004668ED"/>
    <w:rsid w:val="00476044"/>
    <w:rsid w:val="004963F9"/>
    <w:rsid w:val="004A4B15"/>
    <w:rsid w:val="004C2C99"/>
    <w:rsid w:val="004E0F63"/>
    <w:rsid w:val="004E7081"/>
    <w:rsid w:val="00500EE7"/>
    <w:rsid w:val="0051365D"/>
    <w:rsid w:val="00523728"/>
    <w:rsid w:val="00534FA3"/>
    <w:rsid w:val="005431A1"/>
    <w:rsid w:val="00544591"/>
    <w:rsid w:val="00545EDA"/>
    <w:rsid w:val="005A401E"/>
    <w:rsid w:val="005B3A6F"/>
    <w:rsid w:val="00621AF9"/>
    <w:rsid w:val="006571FF"/>
    <w:rsid w:val="00696768"/>
    <w:rsid w:val="006A6EEE"/>
    <w:rsid w:val="006B7801"/>
    <w:rsid w:val="006E2284"/>
    <w:rsid w:val="007023A7"/>
    <w:rsid w:val="00711E50"/>
    <w:rsid w:val="0075566B"/>
    <w:rsid w:val="00786BB6"/>
    <w:rsid w:val="00797F31"/>
    <w:rsid w:val="007A6AC8"/>
    <w:rsid w:val="007B73A7"/>
    <w:rsid w:val="007F300B"/>
    <w:rsid w:val="00850C4C"/>
    <w:rsid w:val="00871ED7"/>
    <w:rsid w:val="008B5BFE"/>
    <w:rsid w:val="008C769F"/>
    <w:rsid w:val="008D6F71"/>
    <w:rsid w:val="008E779E"/>
    <w:rsid w:val="009358BF"/>
    <w:rsid w:val="00936B8C"/>
    <w:rsid w:val="009557DF"/>
    <w:rsid w:val="009A23F7"/>
    <w:rsid w:val="00A02114"/>
    <w:rsid w:val="00A1375B"/>
    <w:rsid w:val="00A6365F"/>
    <w:rsid w:val="00A826E1"/>
    <w:rsid w:val="00A82F11"/>
    <w:rsid w:val="00A93F68"/>
    <w:rsid w:val="00AA63F3"/>
    <w:rsid w:val="00AC52B1"/>
    <w:rsid w:val="00AD7789"/>
    <w:rsid w:val="00B16E85"/>
    <w:rsid w:val="00B17DE0"/>
    <w:rsid w:val="00B21A47"/>
    <w:rsid w:val="00B30E78"/>
    <w:rsid w:val="00B66727"/>
    <w:rsid w:val="00B77C2D"/>
    <w:rsid w:val="00BA5A3C"/>
    <w:rsid w:val="00BC6C74"/>
    <w:rsid w:val="00BF1575"/>
    <w:rsid w:val="00BF6F58"/>
    <w:rsid w:val="00C20023"/>
    <w:rsid w:val="00C26A9E"/>
    <w:rsid w:val="00CA54CD"/>
    <w:rsid w:val="00CA7A43"/>
    <w:rsid w:val="00CC7EF4"/>
    <w:rsid w:val="00CF0AD7"/>
    <w:rsid w:val="00CF14AD"/>
    <w:rsid w:val="00D03E5B"/>
    <w:rsid w:val="00D253F2"/>
    <w:rsid w:val="00D32882"/>
    <w:rsid w:val="00D34674"/>
    <w:rsid w:val="00D45C2D"/>
    <w:rsid w:val="00D50124"/>
    <w:rsid w:val="00D75039"/>
    <w:rsid w:val="00D80C8A"/>
    <w:rsid w:val="00DA5A4E"/>
    <w:rsid w:val="00DB34DC"/>
    <w:rsid w:val="00DC3D0F"/>
    <w:rsid w:val="00DD792A"/>
    <w:rsid w:val="00DE49C2"/>
    <w:rsid w:val="00DF6D9E"/>
    <w:rsid w:val="00DF7B59"/>
    <w:rsid w:val="00E161C3"/>
    <w:rsid w:val="00E211EC"/>
    <w:rsid w:val="00E8675D"/>
    <w:rsid w:val="00EE6027"/>
    <w:rsid w:val="00F007FB"/>
    <w:rsid w:val="00F21F70"/>
    <w:rsid w:val="00F255C4"/>
    <w:rsid w:val="00F2585A"/>
    <w:rsid w:val="00F2711C"/>
    <w:rsid w:val="00F35625"/>
    <w:rsid w:val="00F534FB"/>
    <w:rsid w:val="00F72261"/>
    <w:rsid w:val="00F8728E"/>
    <w:rsid w:val="00F91C30"/>
    <w:rsid w:val="00FA0490"/>
    <w:rsid w:val="00FB66A9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27</cp:revision>
  <cp:lastPrinted>2018-10-24T22:13:00Z</cp:lastPrinted>
  <dcterms:created xsi:type="dcterms:W3CDTF">2019-01-03T19:33:00Z</dcterms:created>
  <dcterms:modified xsi:type="dcterms:W3CDTF">2019-04-26T00:40:00Z</dcterms:modified>
</cp:coreProperties>
</file>