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A71B38">
        <w:rPr>
          <w:rFonts w:ascii="Arial" w:hAnsi="Arial" w:cs="Arial"/>
          <w:sz w:val="22"/>
        </w:rPr>
        <w:t>alisco siendo las 14  horas con 35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A71B38">
        <w:rPr>
          <w:rFonts w:ascii="Arial" w:hAnsi="Arial" w:cs="Arial"/>
          <w:sz w:val="22"/>
        </w:rPr>
        <w:t xml:space="preserve"> 24</w:t>
      </w:r>
      <w:r w:rsidR="007C3631">
        <w:rPr>
          <w:rFonts w:ascii="Arial" w:hAnsi="Arial" w:cs="Arial"/>
          <w:sz w:val="22"/>
        </w:rPr>
        <w:t xml:space="preserve"> de junio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Reglamentos.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Secretario General del </w:t>
            </w:r>
            <w:r w:rsidRPr="00B30E78">
              <w:rPr>
                <w:rFonts w:ascii="Arial" w:hAnsi="Arial" w:cs="Arial"/>
                <w:sz w:val="22"/>
              </w:rPr>
              <w:lastRenderedPageBreak/>
              <w:t>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E25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C363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C363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7C363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D6AB4" w:rsidRDefault="000D6AB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D6AB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11E81" w:rsidRDefault="00811E8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D6AB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0D6AB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A71B38">
        <w:rPr>
          <w:rFonts w:ascii="Arial" w:hAnsi="Arial" w:cs="Arial"/>
          <w:sz w:val="22"/>
        </w:rPr>
        <w:t xml:space="preserve"> circulado, es aprobado por 13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>
        <w:rPr>
          <w:rFonts w:ascii="Arial" w:hAnsi="Arial" w:cs="Arial"/>
          <w:sz w:val="22"/>
        </w:rPr>
        <w:t>esponde a una mayoría relativa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lastRenderedPageBreak/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la aplicación del Reglamento de comercio.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1669D">
        <w:rPr>
          <w:rFonts w:ascii="Arial" w:hAnsi="Arial" w:cs="Arial"/>
          <w:sz w:val="20"/>
          <w:szCs w:val="20"/>
        </w:rPr>
        <w:t xml:space="preserve"> la Direcciones</w:t>
      </w:r>
      <w:r w:rsidR="00476044">
        <w:rPr>
          <w:rFonts w:ascii="Arial" w:hAnsi="Arial" w:cs="Arial"/>
          <w:sz w:val="20"/>
          <w:szCs w:val="20"/>
        </w:rPr>
        <w:t xml:space="preserve">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Padrón y Licencias.</w:t>
      </w:r>
    </w:p>
    <w:p w:rsidR="007400EF" w:rsidRDefault="007400EF" w:rsidP="007400EF">
      <w:pPr>
        <w:jc w:val="both"/>
        <w:rPr>
          <w:rFonts w:ascii="Arial" w:hAnsi="Arial" w:cs="Arial"/>
          <w:sz w:val="22"/>
        </w:rPr>
      </w:pPr>
    </w:p>
    <w:p w:rsidR="00A71B38" w:rsidRPr="00A71B38" w:rsidRDefault="00A71B38" w:rsidP="00740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Se presentan los trabajos previos para llevar a cabo </w:t>
      </w:r>
      <w:r w:rsidR="007400EF">
        <w:rPr>
          <w:rFonts w:ascii="Arial" w:hAnsi="Arial" w:cs="Arial"/>
          <w:sz w:val="22"/>
        </w:rPr>
        <w:t xml:space="preserve">el programa ESPACIOS DIGNOS, por parte de la  Directora del área de Padrón y Licencias, señalando los detalles </w:t>
      </w:r>
    </w:p>
    <w:p w:rsidR="00A71B38" w:rsidRDefault="00A71B38" w:rsidP="00A71B38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Sobre las calles LUIS DONALDO COLOSIO, ITURBIDE, ZARAGOZA, JUAREZ, se determina pintar la línea azul que marque las distancias sobre las cuales los comerciantes no deben </w:t>
      </w:r>
      <w:r w:rsidR="008F054F">
        <w:rPr>
          <w:rFonts w:ascii="Arial" w:hAnsi="Arial" w:cs="Arial"/>
          <w:sz w:val="22"/>
        </w:rPr>
        <w:t>rebasar</w:t>
      </w:r>
      <w:r>
        <w:rPr>
          <w:rFonts w:ascii="Arial" w:hAnsi="Arial" w:cs="Arial"/>
          <w:sz w:val="22"/>
        </w:rPr>
        <w:t xml:space="preserve"> su mercancía</w:t>
      </w:r>
    </w:p>
    <w:p w:rsidR="00A71B38" w:rsidRDefault="00A71B38" w:rsidP="00A71B38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Periodo de socialización del programa  (mes de JULIO Y AGOSTO)</w:t>
      </w:r>
      <w:r w:rsidR="007400EF" w:rsidRPr="007400EF">
        <w:rPr>
          <w:rFonts w:ascii="Arial" w:hAnsi="Arial" w:cs="Arial"/>
          <w:sz w:val="22"/>
          <w:szCs w:val="22"/>
        </w:rPr>
        <w:t>.</w:t>
      </w:r>
    </w:p>
    <w:p w:rsidR="00A71B38" w:rsidRDefault="00A71B38" w:rsidP="00A71B38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INICIO DEL OPERATIVO DE ESPACIOS LIBRES.   26 de agosto del 2019.</w:t>
      </w:r>
    </w:p>
    <w:p w:rsidR="007400EF" w:rsidRPr="008F5746" w:rsidRDefault="00A71B38" w:rsidP="00A71B38">
      <w:pPr>
        <w:pStyle w:val="Prrafodelista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Dependencias involucradas (SEGURIDAD PUBLICA, OBRAS PUBLICAS, PADRON Y LICENCIAS, POLICIA TURISTICA, ALUMBRADO PUBLICO), que por </w:t>
      </w:r>
      <w:r w:rsidR="008F054F">
        <w:rPr>
          <w:rFonts w:ascii="Arial" w:hAnsi="Arial" w:cs="Arial"/>
          <w:sz w:val="22"/>
          <w:szCs w:val="22"/>
        </w:rPr>
        <w:t>instrucción</w:t>
      </w:r>
      <w:r>
        <w:rPr>
          <w:rFonts w:ascii="Arial" w:hAnsi="Arial" w:cs="Arial"/>
          <w:sz w:val="22"/>
          <w:szCs w:val="22"/>
        </w:rPr>
        <w:t xml:space="preserve"> del Presidente Municipal, generaran acciones conjuntas para la eliminación de obstáculos y estructuras que invadan la </w:t>
      </w:r>
      <w:r w:rsidR="008F054F">
        <w:rPr>
          <w:rFonts w:ascii="Arial" w:hAnsi="Arial" w:cs="Arial"/>
          <w:sz w:val="22"/>
          <w:szCs w:val="22"/>
        </w:rPr>
        <w:t>vía</w:t>
      </w:r>
      <w:r>
        <w:rPr>
          <w:rFonts w:ascii="Arial" w:hAnsi="Arial" w:cs="Arial"/>
          <w:sz w:val="22"/>
          <w:szCs w:val="22"/>
        </w:rPr>
        <w:t xml:space="preserve"> publica.</w:t>
      </w:r>
      <w:r w:rsidR="007400EF" w:rsidRPr="008F5746">
        <w:rPr>
          <w:rFonts w:ascii="Arial" w:hAnsi="Arial" w:cs="Arial"/>
          <w:sz w:val="16"/>
          <w:szCs w:val="16"/>
        </w:rPr>
        <w:t xml:space="preserve">   </w:t>
      </w:r>
    </w:p>
    <w:p w:rsidR="007400EF" w:rsidRPr="008F5746" w:rsidRDefault="007400EF" w:rsidP="007400EF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</w:p>
    <w:p w:rsidR="00A71B38" w:rsidRPr="00DD3104" w:rsidRDefault="007400EF" w:rsidP="00DD3104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 w:rsidRPr="008F5746">
        <w:rPr>
          <w:rFonts w:ascii="Arial" w:hAnsi="Arial" w:cs="Arial"/>
          <w:sz w:val="16"/>
          <w:szCs w:val="16"/>
          <w:lang w:val="es-MX"/>
        </w:rPr>
        <w:t>Fundamento legal:</w:t>
      </w:r>
    </w:p>
    <w:p w:rsidR="00DD3104" w:rsidRPr="00DD3104" w:rsidRDefault="00DD3104" w:rsidP="00DD3104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t xml:space="preserve"> </w:t>
      </w:r>
      <w:r w:rsidRPr="00DD3104">
        <w:rPr>
          <w:rFonts w:ascii="Arial" w:hAnsi="Arial" w:cs="Arial"/>
          <w:b/>
          <w:bCs/>
          <w:sz w:val="16"/>
          <w:szCs w:val="16"/>
        </w:rPr>
        <w:t>Reglamento para el Ejercicio del Comercio en Mercados Municipales, Locales Comerciales y en la Vía Pública</w:t>
      </w:r>
    </w:p>
    <w:p w:rsidR="00DD3104" w:rsidRDefault="00DD3104" w:rsidP="007400E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71B38" w:rsidRPr="00DD3104" w:rsidRDefault="00DD3104" w:rsidP="007400E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DD3104">
        <w:rPr>
          <w:rFonts w:ascii="Arial" w:hAnsi="Arial" w:cs="Arial"/>
          <w:b/>
          <w:bCs/>
          <w:sz w:val="16"/>
          <w:szCs w:val="16"/>
        </w:rPr>
        <w:t>TITULO SEGUNDO El COMERCIO ESTABLECIDO CAPITULO I. DISPOSICIONES GENERALES:</w:t>
      </w:r>
    </w:p>
    <w:p w:rsidR="00A71B38" w:rsidRPr="00DD3104" w:rsidRDefault="00A71B38" w:rsidP="007400EF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A71B38" w:rsidRPr="00DD3104" w:rsidRDefault="00DD3104" w:rsidP="007400E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DD3104">
        <w:rPr>
          <w:rFonts w:ascii="Arial" w:hAnsi="Arial" w:cs="Arial"/>
          <w:b/>
          <w:bCs/>
          <w:sz w:val="16"/>
          <w:szCs w:val="16"/>
        </w:rPr>
        <w:t xml:space="preserve">ARTICULO 17 </w:t>
      </w:r>
      <w:r w:rsidRPr="00DD3104">
        <w:rPr>
          <w:rFonts w:ascii="Arial" w:hAnsi="Arial" w:cs="Arial"/>
          <w:sz w:val="16"/>
          <w:szCs w:val="16"/>
        </w:rPr>
        <w:t xml:space="preserve">Los comerciantes establecidos, invariablemente no invadirán con sus mercancías banquetas, áreas de circulación de peatones y vehículos, en caso necesario solicitaran El permiso necesario a Tesorería Municipal El </w:t>
      </w:r>
      <w:r w:rsidR="008F054F" w:rsidRPr="00DD3104">
        <w:rPr>
          <w:rFonts w:ascii="Arial" w:hAnsi="Arial" w:cs="Arial"/>
          <w:sz w:val="16"/>
          <w:szCs w:val="16"/>
        </w:rPr>
        <w:t>permiso</w:t>
      </w:r>
      <w:r w:rsidRPr="00DD3104">
        <w:rPr>
          <w:rFonts w:ascii="Arial" w:hAnsi="Arial" w:cs="Arial"/>
          <w:sz w:val="16"/>
          <w:szCs w:val="16"/>
        </w:rPr>
        <w:t>, El cual se podrá conceder o no, conforme a lo previsto en El presente reglamento y además, mediante El pago correspondiente según la Ley de Ingresos Municipales.</w:t>
      </w:r>
    </w:p>
    <w:p w:rsidR="00DD3104" w:rsidRDefault="00DD3104" w:rsidP="007400E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D3104" w:rsidRDefault="00A71B38" w:rsidP="007400E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D3104">
        <w:rPr>
          <w:rFonts w:ascii="Arial" w:hAnsi="Arial" w:cs="Arial"/>
          <w:b/>
          <w:bCs/>
          <w:sz w:val="16"/>
          <w:szCs w:val="16"/>
        </w:rPr>
        <w:t xml:space="preserve">CAPITULO TERCERO COMERCIOS SEMIFIJOS </w:t>
      </w:r>
    </w:p>
    <w:p w:rsidR="00DD3104" w:rsidRDefault="00DD3104" w:rsidP="007400E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71B38" w:rsidRPr="00DD3104" w:rsidRDefault="00A71B38" w:rsidP="007400EF">
      <w:pPr>
        <w:jc w:val="both"/>
        <w:rPr>
          <w:rFonts w:ascii="Arial" w:hAnsi="Arial" w:cs="Arial"/>
          <w:b/>
          <w:sz w:val="16"/>
          <w:szCs w:val="16"/>
        </w:rPr>
      </w:pPr>
      <w:r w:rsidRPr="00DD3104">
        <w:rPr>
          <w:rFonts w:ascii="Arial" w:hAnsi="Arial" w:cs="Arial"/>
          <w:b/>
          <w:bCs/>
          <w:sz w:val="16"/>
          <w:szCs w:val="16"/>
        </w:rPr>
        <w:t xml:space="preserve">ARTICULO 56 </w:t>
      </w:r>
      <w:r w:rsidRPr="00DD3104">
        <w:rPr>
          <w:rFonts w:ascii="Arial" w:hAnsi="Arial" w:cs="Arial"/>
          <w:sz w:val="16"/>
          <w:szCs w:val="16"/>
        </w:rPr>
        <w:t xml:space="preserve">A este rubro pertenecen los vendedores de diferentes mercancías que las exhiben en diferentes calles de la ciudad, en los portales, pasajes, en un carrito o un puesto improvisado, etc. siempre que se cuente con la autorización de la Autoridad Municipal, respetando el horario de las 7.00 a las 18.00, y deberán mantener su área de trabajo limpia y no arrojar agua en la vía pública, de lo contrario se les aplicarán las sanciones estipuladas en el titulo cuarto del presente reglamento. </w:t>
      </w:r>
      <w:r w:rsidRPr="00DD3104">
        <w:rPr>
          <w:rFonts w:ascii="Arial" w:hAnsi="Arial" w:cs="Arial"/>
          <w:b/>
          <w:bCs/>
          <w:sz w:val="16"/>
          <w:szCs w:val="16"/>
        </w:rPr>
        <w:t xml:space="preserve">ARTICULO 57 </w:t>
      </w:r>
      <w:r w:rsidRPr="00DD3104">
        <w:rPr>
          <w:rFonts w:ascii="Arial" w:hAnsi="Arial" w:cs="Arial"/>
          <w:sz w:val="16"/>
          <w:szCs w:val="16"/>
        </w:rPr>
        <w:t xml:space="preserve">Los semifijos que trabajen en carritos deberán trasladarse dentro de su zona autorizada y no podrán estar fijos en solo lugar. </w:t>
      </w:r>
      <w:r w:rsidRPr="00DD3104">
        <w:rPr>
          <w:rFonts w:ascii="Arial" w:hAnsi="Arial" w:cs="Arial"/>
          <w:b/>
          <w:bCs/>
          <w:sz w:val="16"/>
          <w:szCs w:val="16"/>
        </w:rPr>
        <w:t xml:space="preserve">ARTICULO 58 </w:t>
      </w:r>
      <w:r w:rsidRPr="00DD3104">
        <w:rPr>
          <w:rFonts w:ascii="Arial" w:hAnsi="Arial" w:cs="Arial"/>
          <w:sz w:val="16"/>
          <w:szCs w:val="16"/>
        </w:rPr>
        <w:t xml:space="preserve">Los comerciantes que obtengan permiso para trabajar en las zonas permitidas, tendrán que ajustarse estrictamente a los espacios y medidas que a continuación se señalan: I.- Los puestos semifijos tendrán de frente 1.50 metros, de ancho 1.00 metros y de altura 2.20 metros, así mismo la cubierta superior de lona según el color que se le indique para su zona. II.- Los carritos ambulantes tendrán las medidas siguientes: De largo 1.50 metros, de ancho 1.00 metros, de altura incluyendo la sombra 2.00 mts. Los semifijos de alimentos tendrán que ajustarse a las siguientes medidas de largo 1.50 metros, de ancho 1.20 metros, y de altura incluyendo la sombra 2.00 mts. III.- Los rehiletes se ajustarán con las medidas de altura 1.80 metros, de ancho 0.60 metros y no podrán colocar mercancía sobre el piso, podrán colocar una sombra de 0.60 a 0.80 metros de diámetro. IV.- Las tarimas tendrán una altura máxima de 0.40 metros, un frente de 1.50 metros y un ancho de 1.00 metros, solamente colocarán como sombra, toldo o sombrilla. V.- Las cruces de velas y milagros se ajustarán a una altura de 1.50 metros y un ancho de 1.00 metros, no se considera sombra ya que son ambulante. VI.-Los estuches de medallas y joyería medirán 1.50 metros de altura, 0.50 metros de frente y 0.35 metros de ancho, y estos solo podrán colocar sombrilla que no rebase el diámetro de 0.60 metros. VII.- Los vendedores de cristos podrán colocar su mercancía en armazones que midan 1.00 metros de longitud y 1.20 metros de altura. VIII.- Otros implementos, armazones o estanterías diferentes a las mencionadas tendrán que ser autorizas por la dirección de comercio y se ajustará, a las medidas que la misma dirección señale según la zona y el tipo de mercancía. </w:t>
      </w:r>
      <w:r w:rsidRPr="00DD3104">
        <w:rPr>
          <w:rFonts w:ascii="Arial" w:hAnsi="Arial" w:cs="Arial"/>
          <w:b/>
          <w:bCs/>
          <w:sz w:val="16"/>
          <w:szCs w:val="16"/>
        </w:rPr>
        <w:t xml:space="preserve">ARTICULO 59 </w:t>
      </w:r>
      <w:r w:rsidRPr="00DD3104">
        <w:rPr>
          <w:rFonts w:ascii="Arial" w:hAnsi="Arial" w:cs="Arial"/>
          <w:sz w:val="16"/>
          <w:szCs w:val="16"/>
        </w:rPr>
        <w:t>Al terminar sus labores del día, el lugar debe de quedar libre de sus enseres de trabajo y completamente limpio, de lo contrario se les aplicarán las sanciones estipuladas en el titulo cuarto del presente reglamento.</w:t>
      </w:r>
    </w:p>
    <w:p w:rsidR="00DD3104" w:rsidRDefault="00DD3104" w:rsidP="007400EF">
      <w:pPr>
        <w:jc w:val="both"/>
        <w:rPr>
          <w:rFonts w:ascii="Arial" w:hAnsi="Arial" w:cs="Arial"/>
          <w:b/>
          <w:sz w:val="22"/>
        </w:rPr>
      </w:pPr>
    </w:p>
    <w:p w:rsidR="00935658" w:rsidRPr="007400EF" w:rsidRDefault="00DD3104" w:rsidP="007400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Acuerdo.-  Con 12 votos a favor de determina por el pleno AUTORIZACION PARA TOMAR LAS ACCIONES Y CONDICIONES PARA LA APLICACIÓN DEL OPERATIVO ESPACION DIGNOS 2019</w:t>
      </w:r>
      <w:r w:rsidR="007400EF" w:rsidRPr="000A549F">
        <w:rPr>
          <w:rFonts w:ascii="Arial" w:hAnsi="Arial" w:cs="Arial"/>
          <w:b/>
          <w:sz w:val="22"/>
        </w:rPr>
        <w:t>.</w:t>
      </w:r>
    </w:p>
    <w:p w:rsidR="00DD3104" w:rsidRDefault="00DD3104" w:rsidP="00DD3104">
      <w:pPr>
        <w:jc w:val="both"/>
        <w:rPr>
          <w:rFonts w:ascii="Arial" w:hAnsi="Arial" w:cs="Arial"/>
          <w:sz w:val="22"/>
        </w:rPr>
      </w:pPr>
    </w:p>
    <w:p w:rsidR="003A03AE" w:rsidRPr="009F4F84" w:rsidRDefault="003A03AE" w:rsidP="009F4F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9F4F84">
        <w:rPr>
          <w:rFonts w:ascii="Arial" w:hAnsi="Arial" w:cs="Arial"/>
          <w:sz w:val="22"/>
        </w:rPr>
        <w:t xml:space="preserve">En uso de  la  Directora del área de Padrón y Licencias, expone la situación al respecto de los giros comerciales sin licencia que operan como depósitos, donde se da el expendio de bebidas </w:t>
      </w:r>
      <w:r w:rsidR="008F054F" w:rsidRPr="009F4F84">
        <w:rPr>
          <w:rFonts w:ascii="Arial" w:hAnsi="Arial" w:cs="Arial"/>
          <w:sz w:val="22"/>
        </w:rPr>
        <w:t>alcohólicas</w:t>
      </w:r>
      <w:r w:rsidRPr="009F4F84">
        <w:rPr>
          <w:rFonts w:ascii="Arial" w:hAnsi="Arial" w:cs="Arial"/>
          <w:sz w:val="22"/>
        </w:rPr>
        <w:t>, siendo estas en establecimientos acondicionados sobre cocheras de lo que se puede ver a simple vista son casas habitación.</w:t>
      </w:r>
    </w:p>
    <w:p w:rsidR="008D24FF" w:rsidRDefault="003A03AE" w:rsidP="003A03AE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Acto seguido se comenta por los integrantes de la comisión la importancia de comenzar con acciones que tengan que ver con la socialización de señalar a los propietarios el estado de irregularidad en el que se </w:t>
      </w:r>
      <w:r w:rsidR="008F054F">
        <w:rPr>
          <w:rFonts w:ascii="Arial" w:hAnsi="Arial" w:cs="Arial"/>
          <w:sz w:val="22"/>
        </w:rPr>
        <w:t>está</w:t>
      </w:r>
      <w:r>
        <w:rPr>
          <w:rFonts w:ascii="Arial" w:hAnsi="Arial" w:cs="Arial"/>
          <w:sz w:val="22"/>
        </w:rPr>
        <w:t xml:space="preserve"> operando, ya que algunos solo cuentan con permisos provisional y otros no tienen permiso, y es por esto que se exhorta a que la </w:t>
      </w:r>
      <w:r w:rsidR="008F054F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</w:t>
      </w:r>
      <w:r w:rsidR="008F054F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licencias, </w:t>
      </w:r>
      <w:r w:rsidR="008F054F">
        <w:rPr>
          <w:rFonts w:ascii="Arial" w:hAnsi="Arial" w:cs="Arial"/>
          <w:sz w:val="22"/>
        </w:rPr>
        <w:t>envié</w:t>
      </w:r>
      <w:r>
        <w:rPr>
          <w:rFonts w:ascii="Arial" w:hAnsi="Arial" w:cs="Arial"/>
          <w:sz w:val="22"/>
        </w:rPr>
        <w:t xml:space="preserve"> notificaciones a estos establecimientos señalando la irregularidad, motivo por el cual se actuara para llevar a cabo el cierre del negocio y evitar sanciones, como es la multa o el arresto</w:t>
      </w:r>
      <w:r w:rsidR="008D24FF">
        <w:rPr>
          <w:rFonts w:ascii="Arial" w:hAnsi="Arial" w:cs="Arial"/>
          <w:sz w:val="22"/>
        </w:rPr>
        <w:t>.</w:t>
      </w:r>
    </w:p>
    <w:p w:rsidR="003A03AE" w:rsidRDefault="008D24FF" w:rsidP="003A03AE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determina que se </w:t>
      </w:r>
      <w:r w:rsidR="008F054F">
        <w:rPr>
          <w:rFonts w:ascii="Arial" w:hAnsi="Arial" w:cs="Arial"/>
          <w:sz w:val="22"/>
        </w:rPr>
        <w:t>inició</w:t>
      </w:r>
      <w:r>
        <w:rPr>
          <w:rFonts w:ascii="Arial" w:hAnsi="Arial" w:cs="Arial"/>
          <w:sz w:val="22"/>
        </w:rPr>
        <w:t xml:space="preserve"> con la identificación de los giros, notificación para la socialización del programa y la instrucción del cierre de los giros si no se cumple con los requisitos señalados</w:t>
      </w:r>
      <w:r w:rsidR="003A03AE">
        <w:rPr>
          <w:rFonts w:ascii="Arial" w:hAnsi="Arial" w:cs="Arial"/>
          <w:sz w:val="22"/>
        </w:rPr>
        <w:t xml:space="preserve">. </w:t>
      </w:r>
    </w:p>
    <w:p w:rsidR="008D24FF" w:rsidRDefault="008D24FF" w:rsidP="003A03AE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</w:p>
    <w:p w:rsidR="008D24FF" w:rsidRDefault="008D24FF" w:rsidP="003A03AE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</w:p>
    <w:p w:rsidR="003A03AE" w:rsidRDefault="003A03AE" w:rsidP="003A03AE">
      <w:pPr>
        <w:pStyle w:val="Prrafodelista"/>
        <w:ind w:left="1080"/>
        <w:jc w:val="both"/>
        <w:rPr>
          <w:rFonts w:ascii="Arial" w:hAnsi="Arial" w:cs="Arial"/>
          <w:sz w:val="16"/>
          <w:szCs w:val="16"/>
          <w:lang w:val="es-MX"/>
        </w:rPr>
      </w:pPr>
      <w:r w:rsidRPr="008F5746">
        <w:rPr>
          <w:rFonts w:ascii="Arial" w:hAnsi="Arial" w:cs="Arial"/>
          <w:sz w:val="16"/>
          <w:szCs w:val="16"/>
          <w:lang w:val="es-MX"/>
        </w:rPr>
        <w:t>Fundamento legal:</w:t>
      </w:r>
    </w:p>
    <w:p w:rsidR="008D24FF" w:rsidRDefault="008D24FF" w:rsidP="008D24F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D24FF" w:rsidRPr="008D24FF" w:rsidRDefault="008D24FF" w:rsidP="008D24FF">
      <w:pPr>
        <w:jc w:val="both"/>
        <w:rPr>
          <w:rFonts w:ascii="Arial" w:hAnsi="Arial" w:cs="Arial"/>
          <w:sz w:val="16"/>
          <w:szCs w:val="16"/>
          <w:lang w:val="es-MX"/>
        </w:rPr>
      </w:pPr>
      <w:r w:rsidRPr="008D24FF">
        <w:rPr>
          <w:rFonts w:ascii="Arial" w:hAnsi="Arial" w:cs="Arial"/>
          <w:b/>
          <w:bCs/>
          <w:sz w:val="16"/>
          <w:szCs w:val="16"/>
        </w:rPr>
        <w:t>Reglamento para el Ejercicio del Comercio en Mercados Municipales, Locales Comerciales y en la Vía Pública</w:t>
      </w:r>
    </w:p>
    <w:p w:rsidR="008D24FF" w:rsidRDefault="008D24FF" w:rsidP="008D24F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A03AE" w:rsidRDefault="008D24FF" w:rsidP="008D24FF">
      <w:pPr>
        <w:jc w:val="both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bCs/>
          <w:sz w:val="16"/>
          <w:szCs w:val="16"/>
        </w:rPr>
        <w:t xml:space="preserve">TITULO CUARTO CAPITULO UNICO SANCIONES ARTICULO 74 </w:t>
      </w:r>
      <w:r w:rsidRPr="008D24FF">
        <w:rPr>
          <w:rFonts w:ascii="Arial" w:hAnsi="Arial" w:cs="Arial"/>
          <w:sz w:val="16"/>
          <w:szCs w:val="16"/>
        </w:rPr>
        <w:t xml:space="preserve">Primeramente se le deberá hacer una notificación formal por la supuesta falta. </w:t>
      </w:r>
      <w:r w:rsidRPr="008D24FF">
        <w:rPr>
          <w:rFonts w:ascii="Arial" w:hAnsi="Arial" w:cs="Arial"/>
          <w:b/>
          <w:bCs/>
          <w:sz w:val="16"/>
          <w:szCs w:val="16"/>
        </w:rPr>
        <w:t xml:space="preserve">ARTICULO 75 </w:t>
      </w:r>
      <w:r w:rsidRPr="008D24FF">
        <w:rPr>
          <w:rFonts w:ascii="Arial" w:hAnsi="Arial" w:cs="Arial"/>
          <w:sz w:val="16"/>
          <w:szCs w:val="16"/>
        </w:rPr>
        <w:t xml:space="preserve">Si reincide o hace caso omiso, se hará acreedor a una multa que se calificará de acuerdo a la gravedad de la faltas y deberá pagar hasta 20 días de salario mínimo vigente, </w:t>
      </w:r>
      <w:r w:rsidR="008F054F" w:rsidRPr="008D24FF">
        <w:rPr>
          <w:rFonts w:ascii="Arial" w:hAnsi="Arial" w:cs="Arial"/>
          <w:sz w:val="16"/>
          <w:szCs w:val="16"/>
        </w:rPr>
        <w:t>más</w:t>
      </w:r>
      <w:r w:rsidRPr="008D24FF">
        <w:rPr>
          <w:rFonts w:ascii="Arial" w:hAnsi="Arial" w:cs="Arial"/>
          <w:sz w:val="16"/>
          <w:szCs w:val="16"/>
        </w:rPr>
        <w:t xml:space="preserve"> los gastos de cobranza y notificación. </w:t>
      </w:r>
      <w:r w:rsidRPr="008D24FF">
        <w:rPr>
          <w:rFonts w:ascii="Arial" w:hAnsi="Arial" w:cs="Arial"/>
          <w:b/>
          <w:bCs/>
          <w:sz w:val="16"/>
          <w:szCs w:val="16"/>
        </w:rPr>
        <w:t xml:space="preserve">ARTICULO 76 </w:t>
      </w:r>
      <w:r w:rsidRPr="008D24FF">
        <w:rPr>
          <w:rFonts w:ascii="Arial" w:hAnsi="Arial" w:cs="Arial"/>
          <w:sz w:val="16"/>
          <w:szCs w:val="16"/>
        </w:rPr>
        <w:t xml:space="preserve">Si reincide o hace caso omiso, 24 horas después, se le requerirá, fijando una multa mínima del doble del monto fijado en la primera vez, </w:t>
      </w:r>
      <w:r w:rsidR="008F054F" w:rsidRPr="008D24FF">
        <w:rPr>
          <w:rFonts w:ascii="Arial" w:hAnsi="Arial" w:cs="Arial"/>
          <w:sz w:val="16"/>
          <w:szCs w:val="16"/>
        </w:rPr>
        <w:t>más</w:t>
      </w:r>
      <w:r w:rsidRPr="008D24FF">
        <w:rPr>
          <w:rFonts w:ascii="Arial" w:hAnsi="Arial" w:cs="Arial"/>
          <w:sz w:val="16"/>
          <w:szCs w:val="16"/>
        </w:rPr>
        <w:t xml:space="preserve"> los gastos de cobranza, así mismo, se le deberá de advertir que de continuar incurriendo en la falta o dejando de cubrir la deuda, se procederá a cancelar el </w:t>
      </w:r>
      <w:r w:rsidR="008F054F" w:rsidRPr="008D24FF">
        <w:rPr>
          <w:rFonts w:ascii="Arial" w:hAnsi="Arial" w:cs="Arial"/>
          <w:sz w:val="16"/>
          <w:szCs w:val="16"/>
        </w:rPr>
        <w:t>permiso</w:t>
      </w:r>
      <w:r w:rsidRPr="008D24FF">
        <w:rPr>
          <w:rFonts w:ascii="Arial" w:hAnsi="Arial" w:cs="Arial"/>
          <w:sz w:val="16"/>
          <w:szCs w:val="16"/>
        </w:rPr>
        <w:t xml:space="preserve">. </w:t>
      </w:r>
      <w:r w:rsidRPr="008D24FF">
        <w:rPr>
          <w:rFonts w:ascii="Arial" w:hAnsi="Arial" w:cs="Arial"/>
          <w:b/>
          <w:bCs/>
          <w:sz w:val="16"/>
          <w:szCs w:val="16"/>
        </w:rPr>
        <w:t xml:space="preserve">ARTICULO 77 </w:t>
      </w:r>
      <w:r w:rsidRPr="008D24FF">
        <w:rPr>
          <w:rFonts w:ascii="Arial" w:hAnsi="Arial" w:cs="Arial"/>
          <w:sz w:val="16"/>
          <w:szCs w:val="16"/>
        </w:rPr>
        <w:t xml:space="preserve">Se sancionará hasta con la cancelación del permiso al comerciante que preste su gafete, que trabaje fuera de la zona o día que señale el mismo, a quien trate mal al turista y a quien no cumpla con sus pagos en la tesorería. </w:t>
      </w:r>
      <w:r w:rsidRPr="008D24FF">
        <w:rPr>
          <w:rFonts w:ascii="Arial" w:hAnsi="Arial" w:cs="Arial"/>
          <w:b/>
          <w:bCs/>
          <w:sz w:val="16"/>
          <w:szCs w:val="16"/>
        </w:rPr>
        <w:t xml:space="preserve">ARTICULO 78 </w:t>
      </w:r>
      <w:r w:rsidRPr="008D24FF">
        <w:rPr>
          <w:rFonts w:ascii="Arial" w:hAnsi="Arial" w:cs="Arial"/>
          <w:sz w:val="16"/>
          <w:szCs w:val="16"/>
        </w:rPr>
        <w:t>En caso de embargo, se deberá proceder como lo establece la Ley de Hacienda Pública Municipal, en sus artículos 252 al 307 y llegar hasta el remate del bien, para la recuperación del adeudo fiscal.</w:t>
      </w:r>
    </w:p>
    <w:p w:rsidR="008D24FF" w:rsidRDefault="008D24FF" w:rsidP="008D24FF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Arial" w:hAnsi="Arial" w:cs="Arial"/>
          <w:b/>
          <w:bCs/>
          <w:sz w:val="16"/>
          <w:szCs w:val="16"/>
        </w:rPr>
      </w:pP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8D24FF">
        <w:rPr>
          <w:rFonts w:ascii="Arial" w:hAnsi="Arial" w:cs="Arial"/>
          <w:b/>
          <w:bCs/>
          <w:sz w:val="16"/>
          <w:szCs w:val="16"/>
        </w:rPr>
        <w:t xml:space="preserve">REGLAMENTO DE POLICÍA Y BUEN GOBIERNO PARA EL MUNICIPIO DE SAN JUAN DE LOS LAGOS; </w:t>
      </w:r>
      <w:r>
        <w:rPr>
          <w:rFonts w:ascii="Arial" w:hAnsi="Arial" w:cs="Arial"/>
          <w:b/>
          <w:bCs/>
          <w:sz w:val="16"/>
          <w:szCs w:val="16"/>
        </w:rPr>
        <w:t>JALISCO</w:t>
      </w: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244" w:lineRule="exact"/>
        <w:jc w:val="both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sz w:val="16"/>
          <w:szCs w:val="16"/>
        </w:rPr>
        <w:t>Artículo 53.-</w:t>
      </w:r>
      <w:r w:rsidRPr="008D24FF">
        <w:rPr>
          <w:rFonts w:ascii="Arial" w:hAnsi="Arial" w:cs="Arial"/>
          <w:sz w:val="16"/>
          <w:szCs w:val="16"/>
        </w:rPr>
        <w:t xml:space="preserve"> Son infracciones que afectan el orden público, la se</w:t>
      </w:r>
      <w:r w:rsidRPr="008D24FF">
        <w:rPr>
          <w:rFonts w:ascii="Arial" w:hAnsi="Arial" w:cs="Arial"/>
          <w:sz w:val="16"/>
          <w:szCs w:val="16"/>
        </w:rPr>
        <w:softHyphen/>
        <w:t>guri</w:t>
      </w:r>
      <w:r>
        <w:rPr>
          <w:rFonts w:ascii="Arial" w:hAnsi="Arial" w:cs="Arial"/>
          <w:sz w:val="16"/>
          <w:szCs w:val="16"/>
        </w:rPr>
        <w:t>dad y la moral de las personas:</w:t>
      </w: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235" w:lineRule="exact"/>
        <w:jc w:val="both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sz w:val="16"/>
          <w:szCs w:val="16"/>
        </w:rPr>
        <w:t>XLVIII.</w:t>
      </w:r>
      <w:r w:rsidRPr="008D24FF">
        <w:rPr>
          <w:rFonts w:ascii="Arial" w:hAnsi="Arial" w:cs="Arial"/>
          <w:sz w:val="16"/>
          <w:szCs w:val="16"/>
        </w:rPr>
        <w:t>- Cuando la persona que realice cualquier actividad comercial o industrial no cuente con el permiso correspondiente de la autoridad municipal;</w:t>
      </w: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sz w:val="16"/>
          <w:szCs w:val="16"/>
        </w:rPr>
        <w:t>Artículo 65.-</w:t>
      </w:r>
      <w:r w:rsidRPr="008D24FF">
        <w:rPr>
          <w:rFonts w:ascii="Arial" w:hAnsi="Arial" w:cs="Arial"/>
          <w:sz w:val="16"/>
          <w:szCs w:val="16"/>
        </w:rPr>
        <w:t xml:space="preserve"> Se impondrán  multa de diez  a treinta días de salario mínimo general vigente a quien cometa cualquier de las siguientes infracciones:</w:t>
      </w: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sz w:val="16"/>
          <w:szCs w:val="16"/>
        </w:rPr>
        <w:t>a)</w:t>
      </w:r>
      <w:r w:rsidRPr="008D24FF">
        <w:rPr>
          <w:rFonts w:ascii="Arial" w:hAnsi="Arial" w:cs="Arial"/>
          <w:sz w:val="16"/>
          <w:szCs w:val="16"/>
        </w:rPr>
        <w:t xml:space="preserve"> Articulo 50 en sus fracciones I, IV, V, VI, VIII, IX, X, XII, XXIII.</w:t>
      </w: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sz w:val="16"/>
          <w:szCs w:val="16"/>
        </w:rPr>
        <w:t>b)</w:t>
      </w:r>
      <w:r w:rsidRPr="008D24FF">
        <w:rPr>
          <w:rFonts w:ascii="Arial" w:hAnsi="Arial" w:cs="Arial"/>
          <w:sz w:val="16"/>
          <w:szCs w:val="16"/>
        </w:rPr>
        <w:t xml:space="preserve"> Articulo 52 en sus fracciones VI, VIII, XII, XIV, XV, XVI.</w:t>
      </w:r>
    </w:p>
    <w:p w:rsidR="008D24FF" w:rsidRPr="008D24FF" w:rsidRDefault="008D24FF" w:rsidP="008D24FF">
      <w:pPr>
        <w:widowControl w:val="0"/>
        <w:autoSpaceDE w:val="0"/>
        <w:autoSpaceDN w:val="0"/>
        <w:adjustRightInd w:val="0"/>
        <w:spacing w:line="249" w:lineRule="exact"/>
        <w:rPr>
          <w:rFonts w:ascii="Arial" w:hAnsi="Arial" w:cs="Arial"/>
          <w:sz w:val="16"/>
          <w:szCs w:val="16"/>
        </w:rPr>
      </w:pPr>
      <w:r w:rsidRPr="008D24FF">
        <w:rPr>
          <w:rFonts w:ascii="Arial" w:hAnsi="Arial" w:cs="Arial"/>
          <w:b/>
          <w:sz w:val="16"/>
          <w:szCs w:val="16"/>
        </w:rPr>
        <w:t>c)</w:t>
      </w:r>
      <w:r w:rsidRPr="008D24FF">
        <w:rPr>
          <w:rFonts w:ascii="Arial" w:hAnsi="Arial" w:cs="Arial"/>
          <w:sz w:val="16"/>
          <w:szCs w:val="16"/>
        </w:rPr>
        <w:t xml:space="preserve"> Articulo 53 en sus fracciones I, IV, V, VI, VIII, X, XI, XVI, XXIV, XXV, XXXIII, XXXIV, XLVI, XLVIII, XLIX, LII, LIII.</w:t>
      </w:r>
    </w:p>
    <w:p w:rsidR="008D24FF" w:rsidRPr="008D24FF" w:rsidRDefault="008D24FF" w:rsidP="008D24FF">
      <w:pPr>
        <w:jc w:val="both"/>
        <w:rPr>
          <w:rFonts w:ascii="Arial" w:hAnsi="Arial" w:cs="Arial"/>
          <w:sz w:val="16"/>
          <w:szCs w:val="16"/>
        </w:rPr>
      </w:pPr>
    </w:p>
    <w:p w:rsidR="00DD3104" w:rsidRPr="00DD3104" w:rsidRDefault="00DD3104" w:rsidP="003A03AE">
      <w:pPr>
        <w:pStyle w:val="Prrafodelista"/>
        <w:ind w:left="1080"/>
        <w:jc w:val="both"/>
        <w:rPr>
          <w:rFonts w:ascii="Arial" w:hAnsi="Arial" w:cs="Arial"/>
          <w:sz w:val="16"/>
          <w:szCs w:val="16"/>
        </w:rPr>
      </w:pPr>
    </w:p>
    <w:p w:rsidR="00DD3104" w:rsidRDefault="00DD3104" w:rsidP="00DD3104">
      <w:pPr>
        <w:jc w:val="both"/>
        <w:rPr>
          <w:rFonts w:ascii="Arial" w:hAnsi="Arial" w:cs="Arial"/>
          <w:b/>
          <w:sz w:val="22"/>
        </w:rPr>
      </w:pPr>
      <w:r w:rsidRPr="00DD3104">
        <w:rPr>
          <w:rFonts w:ascii="Arial" w:hAnsi="Arial" w:cs="Arial"/>
          <w:b/>
          <w:sz w:val="22"/>
        </w:rPr>
        <w:t>Acuerdo.-  Con 12 votos a favor de determina por el p</w:t>
      </w:r>
      <w:r w:rsidR="008D24FF">
        <w:rPr>
          <w:rFonts w:ascii="Arial" w:hAnsi="Arial" w:cs="Arial"/>
          <w:b/>
          <w:sz w:val="22"/>
        </w:rPr>
        <w:t>leno AUTORIZACION PARA INICIAR CON EL OPERATIVO DE INSPECCION SOBRE GIROS COMERCIALES, CON VENTA DE BEBIDAS ALCHOLICAS SOBRE COCHERAS, INICIANDO POR NOTIFICACION Y DE NO CUMPLIR CON LOS REQUISITOS DAR LA INSTRUCCIÓN DE CIERRE DE LOS MISMOS</w:t>
      </w:r>
      <w:r w:rsidRPr="00DD3104">
        <w:rPr>
          <w:rFonts w:ascii="Arial" w:hAnsi="Arial" w:cs="Arial"/>
          <w:b/>
          <w:sz w:val="22"/>
        </w:rPr>
        <w:t>.</w:t>
      </w:r>
    </w:p>
    <w:p w:rsidR="003A03AE" w:rsidRPr="009F4F84" w:rsidRDefault="009F4F84" w:rsidP="009F4F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9F4F84">
        <w:rPr>
          <w:rFonts w:ascii="Arial" w:hAnsi="Arial" w:cs="Arial"/>
          <w:sz w:val="22"/>
        </w:rPr>
        <w:t>En uso de  la  Directora del área de Padrón y Licencias, expone la situación al respecto</w:t>
      </w:r>
      <w:r>
        <w:rPr>
          <w:rFonts w:ascii="Arial" w:hAnsi="Arial" w:cs="Arial"/>
          <w:sz w:val="22"/>
        </w:rPr>
        <w:t>, de la importancia de determinar y generar una homologación de los horarios para los establecimientos ya que existe una clara discrepancia en lo señalado en el Reglamento Municipal y el reglamento Estatal, señalándolo claramente.</w:t>
      </w:r>
    </w:p>
    <w:p w:rsidR="009F4F84" w:rsidRDefault="009F4F84" w:rsidP="009F4F84">
      <w:pPr>
        <w:jc w:val="both"/>
        <w:rPr>
          <w:rFonts w:ascii="Arial" w:hAnsi="Arial" w:cs="Arial"/>
          <w:sz w:val="16"/>
          <w:szCs w:val="16"/>
        </w:rPr>
      </w:pPr>
    </w:p>
    <w:p w:rsidR="00D628CD" w:rsidRDefault="00D628CD" w:rsidP="00D628CD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Marco jurídico municipal.</w:t>
      </w:r>
    </w:p>
    <w:p w:rsidR="00D628CD" w:rsidRPr="00D628CD" w:rsidRDefault="00D628CD" w:rsidP="00D628CD">
      <w:pPr>
        <w:jc w:val="both"/>
        <w:rPr>
          <w:rFonts w:ascii="Arial" w:hAnsi="Arial" w:cs="Arial"/>
          <w:sz w:val="16"/>
          <w:szCs w:val="16"/>
          <w:lang w:val="es-MX"/>
        </w:rPr>
      </w:pPr>
      <w:r w:rsidRPr="00D628CD">
        <w:rPr>
          <w:rFonts w:ascii="Arial" w:hAnsi="Arial" w:cs="Arial"/>
          <w:b/>
          <w:bCs/>
          <w:sz w:val="16"/>
          <w:szCs w:val="16"/>
        </w:rPr>
        <w:t>Reglamento para el Ejercicio del Comercio en Mercados Municipales, Locales Comerciales y en la Vía Pública</w:t>
      </w:r>
    </w:p>
    <w:p w:rsidR="00D628CD" w:rsidRPr="00D628CD" w:rsidRDefault="00D628CD" w:rsidP="009F4F84">
      <w:p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9F4F84" w:rsidRPr="00D628CD" w:rsidRDefault="009F4F84" w:rsidP="009F4F8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628CD">
        <w:rPr>
          <w:rFonts w:ascii="Arial" w:hAnsi="Arial" w:cs="Arial"/>
          <w:b/>
          <w:bCs/>
          <w:sz w:val="16"/>
          <w:szCs w:val="16"/>
        </w:rPr>
        <w:t>CAPITULO III CABARETS O CENTROS NOCTURNOS, CANTINAS, BARES, LADIES BAR, CERVECERIAS, DISCOTECAS Y BILLARES.</w:t>
      </w:r>
    </w:p>
    <w:p w:rsidR="009F4F84" w:rsidRPr="00D628CD" w:rsidRDefault="009F4F84" w:rsidP="009F4F8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F4F84" w:rsidRPr="00D628CD" w:rsidRDefault="009F4F84" w:rsidP="009F4F84">
      <w:pPr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b/>
          <w:bCs/>
          <w:sz w:val="16"/>
          <w:szCs w:val="16"/>
        </w:rPr>
        <w:t xml:space="preserve">ARTICULO 29 </w:t>
      </w:r>
      <w:r w:rsidRPr="00D628CD">
        <w:rPr>
          <w:rFonts w:ascii="Arial" w:hAnsi="Arial" w:cs="Arial"/>
          <w:sz w:val="16"/>
          <w:szCs w:val="16"/>
        </w:rPr>
        <w:t xml:space="preserve">En estos negocios deberán acatar El siguiente horario: Cantinas, de 08:00 a 21:30 horas; Ladies Bar de 12:30 a 24:30 horas y </w:t>
      </w:r>
      <w:r w:rsidR="008F054F" w:rsidRPr="00D628CD">
        <w:rPr>
          <w:rFonts w:ascii="Arial" w:hAnsi="Arial" w:cs="Arial"/>
          <w:sz w:val="16"/>
          <w:szCs w:val="16"/>
        </w:rPr>
        <w:t>Discoteca</w:t>
      </w:r>
      <w:r w:rsidRPr="00D628CD">
        <w:rPr>
          <w:rFonts w:ascii="Arial" w:hAnsi="Arial" w:cs="Arial"/>
          <w:sz w:val="16"/>
          <w:szCs w:val="16"/>
        </w:rPr>
        <w:t xml:space="preserve"> de 19:00 a 23:00 horas.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28CD" w:rsidRDefault="00D628CD" w:rsidP="009B37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Marco jurídico  estatal.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628CD">
        <w:rPr>
          <w:rFonts w:ascii="Arial" w:hAnsi="Arial" w:cs="Arial"/>
          <w:b/>
          <w:bCs/>
          <w:sz w:val="16"/>
          <w:szCs w:val="16"/>
        </w:rPr>
        <w:t>LEY PARA REGULAR LA VENTA Y EL CONSUMO DE BEBIDAS ALCOHÓLICAS DEL ESTADO DE JALISCO</w:t>
      </w:r>
    </w:p>
    <w:p w:rsidR="009F4F84" w:rsidRPr="00D628CD" w:rsidRDefault="009F4F84" w:rsidP="009F4F84">
      <w:pPr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628CD">
        <w:rPr>
          <w:rFonts w:ascii="Arial" w:hAnsi="Arial" w:cs="Arial"/>
          <w:b/>
          <w:bCs/>
          <w:sz w:val="16"/>
          <w:szCs w:val="16"/>
        </w:rPr>
        <w:t>CAPÍTULO SÉPTIMO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628CD">
        <w:rPr>
          <w:rFonts w:ascii="Arial" w:hAnsi="Arial" w:cs="Arial"/>
          <w:b/>
          <w:bCs/>
          <w:sz w:val="16"/>
          <w:szCs w:val="16"/>
        </w:rPr>
        <w:t>DÍAS Y HORARIO DE FUNCIONAMIENTO DE LOS ESTABLECIMIENTOS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9B3776" w:rsidRPr="00D628CD" w:rsidRDefault="009B3776" w:rsidP="009B3776">
      <w:pPr>
        <w:jc w:val="both"/>
        <w:rPr>
          <w:rFonts w:ascii="Arial" w:hAnsi="Arial" w:cs="Arial"/>
          <w:b/>
          <w:sz w:val="16"/>
          <w:szCs w:val="16"/>
        </w:rPr>
      </w:pPr>
      <w:r w:rsidRPr="00D628CD">
        <w:rPr>
          <w:rFonts w:ascii="Arial" w:hAnsi="Arial" w:cs="Arial"/>
          <w:b/>
          <w:sz w:val="16"/>
          <w:szCs w:val="16"/>
        </w:rPr>
        <w:t>Artículo 38.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 xml:space="preserve">1. Los días y horas en que pueden permanecer abiertos los establecimientos para la venta y consumo de bebidas alcohólicas que define esta ley, deben ser establecidos por los ayuntamientos en sus respectivos ordenamientos municipales, tomando en cuenta el interés social, las costumbres y afluencia turística, y de conformidad con lo dispuesto en la presente y demás disposiciones legales y reglamentarias aplicables. 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2. Los ayuntamientos pueden establecer horarios escalonados para el cierre de los establecimientos a que se refiere esta ley, siempre y cuando no se lesione el orden público o el interés social.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3. Independientemente del horario en que puedan permanecer abiertos dichos establecimientos, de conformidad a las disposiciones municipales reglamentarias; la venta y consumo de bebidas alcohólicas no debe iniciar antes de las 12:00 horas ni exceder de las 04:00 horas, mientras que en establecimientos donde pueda realizarse la venta, más no el consumo de bebidas alcohólicas, la venta no debe iniciar antes de las 10:00 horas ni excederse de las 22:00 horas en zonas habitacionales, y hasta las 01:00 horas, en establecimientos que se encuentren ubicados en zonas comerciales o mixtas.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b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4. Los ayuntamientos pueden otorgar autorización de horas extras de operación, respecto de los establecidos en sus ordenamientos, sin que la venta y consumo pueda exceder de las 04:00 horas, únicamente a los establecimientos a que se refieren los artículos 15 y 16, siempre que implementen programas de seguridad y prevención de accidentes de los enunciados en la presente ley, además de los que contemplen los reglamentos municipales en la materia, en los términos que estos últimos determinen.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D628CD">
        <w:rPr>
          <w:rFonts w:ascii="Arial" w:hAnsi="Arial" w:cs="Arial"/>
          <w:b/>
          <w:sz w:val="16"/>
          <w:szCs w:val="16"/>
        </w:rPr>
        <w:t>Artículo 39.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1. En caso de que no se expidan los reglamentos que prevé el artículo anterior o no establezcan horarios para determinado giro, los establecimientos, supletoriamente, se deben sujetar a los horarios que a con</w:t>
      </w:r>
      <w:smartTag w:uri="urn:schemas-microsoft-com:office:smarttags" w:element="PersonName">
        <w:r w:rsidRPr="00D628CD">
          <w:rPr>
            <w:rFonts w:ascii="Arial" w:hAnsi="Arial" w:cs="Arial"/>
            <w:sz w:val="16"/>
            <w:szCs w:val="16"/>
          </w:rPr>
          <w:t>tin</w:t>
        </w:r>
      </w:smartTag>
      <w:r w:rsidRPr="00D628CD">
        <w:rPr>
          <w:rFonts w:ascii="Arial" w:hAnsi="Arial" w:cs="Arial"/>
          <w:sz w:val="16"/>
          <w:szCs w:val="16"/>
        </w:rPr>
        <w:t>uación se especifican: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I. Establecimientos específicos para la venta y consumo de bebidas alcohólicas: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a) Bares o Can</w:t>
      </w:r>
      <w:smartTag w:uri="urn:schemas-microsoft-com:office:smarttags" w:element="PersonName">
        <w:r w:rsidRPr="00D628CD">
          <w:rPr>
            <w:rFonts w:ascii="Arial" w:hAnsi="Arial" w:cs="Arial"/>
            <w:sz w:val="16"/>
            <w:szCs w:val="16"/>
          </w:rPr>
          <w:t>tin</w:t>
        </w:r>
      </w:smartTag>
      <w:r w:rsidRPr="00D628CD">
        <w:rPr>
          <w:rFonts w:ascii="Arial" w:hAnsi="Arial" w:cs="Arial"/>
          <w:sz w:val="16"/>
          <w:szCs w:val="16"/>
        </w:rPr>
        <w:t>as: domingo a jueves de las 10:00 a las 22:00 horas y viernes y sábado de las 12:00 a las 02:00 horas del día siguiente;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b) Cabarets y Centro Nocturnos: domingo a jueves de las 20:00 a las 24:00 horas y viernes y sábado de las 21:00 a las 03:00 horas del día siguiente;</w:t>
      </w:r>
    </w:p>
    <w:p w:rsidR="009B3776" w:rsidRPr="00D628CD" w:rsidRDefault="009B3776" w:rsidP="009B3776">
      <w:pPr>
        <w:widowControl w:val="0"/>
        <w:tabs>
          <w:tab w:val="left" w:pos="144"/>
          <w:tab w:val="left" w:pos="142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left" w:pos="144"/>
          <w:tab w:val="left" w:pos="142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c) Centros Botaneros: domingo a jueves de las 10:00 a las 22:00 horas y viernes y sábado de las 12:00 a las 02:00 horas del día siguiente;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d) Discotecas: domingo a jueves de las 20:00 a las 24:00 horas y viernes y sábado de las 21:00 a las 02:00 horas del día siguiente;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e) Pulquerías y Tepacherías: domingo a jueves de las 10:00 a las 22:00 horas y viernes y sábado de las 12:00 a las 02:00 horas del día siguiente; y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f) Video Bares: domingo a jueves de las 20:00 a las 24:00 horas y viernes y sábado de las 21:00 a las 02:00 horas del día siguiente.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bCs/>
          <w:sz w:val="16"/>
          <w:szCs w:val="16"/>
        </w:rPr>
        <w:t xml:space="preserve">II. </w:t>
      </w:r>
      <w:r w:rsidRPr="00D628CD">
        <w:rPr>
          <w:rFonts w:ascii="Arial" w:hAnsi="Arial" w:cs="Arial"/>
          <w:sz w:val="16"/>
          <w:szCs w:val="16"/>
        </w:rPr>
        <w:t>Establecimientos no específicos, en los cuales puede realizarse en forma accesoria la venta y consumo de bebidas alcohólicas: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 xml:space="preserve">a) Billares: domingo a sábado de las 10:00 a las 23:00 horas; 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 xml:space="preserve">b) Boliches: domingo a sábado de las 10:00 a las 23:00 horas; 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c) Centros o peñas artísticas o culturales: domingo a sábado de las 11:00 a las 02:00 horas del día siguiente;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 xml:space="preserve">d) Fondas, Cafés, Cenadurías, Taquerías, Loncherías, Coctelerías y Antojitos: domingo a sábado de las 08:00 a las 01:00 horas del día siguiente; </w:t>
      </w:r>
    </w:p>
    <w:p w:rsidR="009B3776" w:rsidRPr="00D628CD" w:rsidRDefault="009B3776" w:rsidP="009B377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e) Parianes: domingo a sábado de las 08:00 a las 02:00 horas del día siguiente;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 xml:space="preserve">f) Restaurantes: domingo a jueves de las 09:00 a las 02:00 </w:t>
      </w:r>
      <w:r w:rsidRPr="00D628CD">
        <w:rPr>
          <w:rFonts w:ascii="Arial" w:hAnsi="Arial" w:cs="Arial"/>
          <w:sz w:val="16"/>
          <w:szCs w:val="16"/>
        </w:rPr>
        <w:tab/>
        <w:t>horas y viernes y sábado de las 08:00 a las 03:00 horas del día siguiente;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 xml:space="preserve">g) Restaurantes-Bar: domingo a jueves de las 20:00 a las 24:00 </w:t>
      </w:r>
      <w:r w:rsidRPr="00D628CD">
        <w:rPr>
          <w:rFonts w:ascii="Arial" w:hAnsi="Arial" w:cs="Arial"/>
          <w:sz w:val="16"/>
          <w:szCs w:val="16"/>
        </w:rPr>
        <w:tab/>
        <w:t>horas y viernes y sábado de las 21:00 a las 02:00 horas del día siguiente; y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ab/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h) Salones de Baile: domingo a sábado de las 11:00 a las 23:00 horas.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bCs/>
          <w:sz w:val="16"/>
          <w:szCs w:val="16"/>
        </w:rPr>
        <w:t xml:space="preserve">III. </w:t>
      </w:r>
      <w:r w:rsidRPr="00D628CD">
        <w:rPr>
          <w:rFonts w:ascii="Arial" w:hAnsi="Arial" w:cs="Arial"/>
          <w:sz w:val="16"/>
          <w:szCs w:val="16"/>
        </w:rPr>
        <w:t>Establecimientos donde puede realizarse la venta, más no el consumo de bebidas alcohólicas: domingo a sábado de las 12:00 a las 21:00 horas.</w:t>
      </w:r>
    </w:p>
    <w:p w:rsidR="009B3776" w:rsidRPr="00D628CD" w:rsidRDefault="009B3776" w:rsidP="009B3776">
      <w:pPr>
        <w:widowControl w:val="0"/>
        <w:tabs>
          <w:tab w:val="right" w:pos="843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B3776" w:rsidRPr="00D628CD" w:rsidRDefault="009B3776" w:rsidP="009B3776">
      <w:pPr>
        <w:widowControl w:val="0"/>
        <w:autoSpaceDE w:val="0"/>
        <w:autoSpaceDN w:val="0"/>
        <w:adjustRightInd w:val="0"/>
        <w:ind w:right="18"/>
        <w:jc w:val="both"/>
        <w:rPr>
          <w:rFonts w:ascii="Arial" w:hAnsi="Arial" w:cs="Arial"/>
          <w:sz w:val="16"/>
          <w:szCs w:val="16"/>
        </w:rPr>
      </w:pPr>
      <w:r w:rsidRPr="00D628CD">
        <w:rPr>
          <w:rFonts w:ascii="Arial" w:hAnsi="Arial" w:cs="Arial"/>
          <w:sz w:val="16"/>
          <w:szCs w:val="16"/>
        </w:rPr>
        <w:t>2. Los ayuntamientos pueden otorgar autorización de ampliación de horario u horas extras, sin exceder de las 04:00 horas, únicamente a los establecimientos a que se refieren los artículos 15 y 16, siempre que implementen programas de seguridad y prevención de accidentes de los enunciados en la presente ley.</w:t>
      </w:r>
    </w:p>
    <w:p w:rsidR="00D628CD" w:rsidRPr="00D628CD" w:rsidRDefault="00D628CD" w:rsidP="009F4F84">
      <w:pPr>
        <w:jc w:val="both"/>
        <w:rPr>
          <w:rFonts w:ascii="Arial" w:hAnsi="Arial" w:cs="Arial"/>
          <w:sz w:val="16"/>
          <w:szCs w:val="16"/>
        </w:rPr>
      </w:pPr>
    </w:p>
    <w:p w:rsidR="009F4F84" w:rsidRPr="009F4F84" w:rsidRDefault="009F4F84" w:rsidP="009F4F84">
      <w:pPr>
        <w:jc w:val="both"/>
        <w:rPr>
          <w:rFonts w:ascii="Arial" w:hAnsi="Arial" w:cs="Arial"/>
          <w:sz w:val="16"/>
          <w:szCs w:val="16"/>
        </w:rPr>
      </w:pPr>
    </w:p>
    <w:p w:rsidR="003A03AE" w:rsidRDefault="003A03AE" w:rsidP="003A03AE">
      <w:pPr>
        <w:jc w:val="both"/>
        <w:rPr>
          <w:rFonts w:ascii="Arial" w:hAnsi="Arial" w:cs="Arial"/>
          <w:b/>
          <w:sz w:val="22"/>
        </w:rPr>
      </w:pPr>
      <w:r w:rsidRPr="00DD3104">
        <w:rPr>
          <w:rFonts w:ascii="Arial" w:hAnsi="Arial" w:cs="Arial"/>
          <w:b/>
          <w:sz w:val="22"/>
        </w:rPr>
        <w:t xml:space="preserve">Acuerdo.-  </w:t>
      </w:r>
      <w:r w:rsidR="00D628CD">
        <w:rPr>
          <w:rFonts w:ascii="Arial" w:hAnsi="Arial" w:cs="Arial"/>
          <w:b/>
          <w:sz w:val="22"/>
        </w:rPr>
        <w:t>Informativo</w:t>
      </w:r>
      <w:r w:rsidRPr="00DD3104">
        <w:rPr>
          <w:rFonts w:ascii="Arial" w:hAnsi="Arial" w:cs="Arial"/>
          <w:b/>
          <w:sz w:val="22"/>
        </w:rPr>
        <w:t>.</w:t>
      </w:r>
    </w:p>
    <w:p w:rsidR="00D628CD" w:rsidRPr="00DD3104" w:rsidRDefault="00D628CD" w:rsidP="003A03AE">
      <w:pPr>
        <w:jc w:val="both"/>
        <w:rPr>
          <w:rFonts w:ascii="Arial" w:hAnsi="Arial" w:cs="Arial"/>
          <w:b/>
          <w:sz w:val="22"/>
          <w:szCs w:val="22"/>
        </w:rPr>
      </w:pPr>
    </w:p>
    <w:p w:rsidR="003A03AE" w:rsidRPr="00D628CD" w:rsidRDefault="00D628CD" w:rsidP="009F4F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9F4F84">
        <w:rPr>
          <w:rFonts w:ascii="Arial" w:hAnsi="Arial" w:cs="Arial"/>
          <w:sz w:val="22"/>
        </w:rPr>
        <w:t>En uso de  la  Directora del área de Padrón y Licencias, expone la situación al respecto</w:t>
      </w:r>
      <w:r>
        <w:rPr>
          <w:rFonts w:ascii="Arial" w:hAnsi="Arial" w:cs="Arial"/>
          <w:sz w:val="22"/>
        </w:rPr>
        <w:t xml:space="preserve"> de señalar y definir </w:t>
      </w:r>
      <w:r w:rsidR="008F054F">
        <w:rPr>
          <w:rFonts w:ascii="Arial" w:hAnsi="Arial" w:cs="Arial"/>
          <w:sz w:val="22"/>
        </w:rPr>
        <w:t>cuáles</w:t>
      </w:r>
      <w:r>
        <w:rPr>
          <w:rFonts w:ascii="Arial" w:hAnsi="Arial" w:cs="Arial"/>
          <w:sz w:val="22"/>
        </w:rPr>
        <w:t xml:space="preserve"> serán los requisitos para los diferentes giros comerciales definiendo esta propuesta:</w:t>
      </w:r>
    </w:p>
    <w:p w:rsidR="00D628CD" w:rsidRDefault="00D628CD" w:rsidP="00D628C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1"/>
        <w:gridCol w:w="3156"/>
        <w:gridCol w:w="2748"/>
      </w:tblGrid>
      <w:tr w:rsidR="00D628CD" w:rsidTr="00D628CD">
        <w:tc>
          <w:tcPr>
            <w:tcW w:w="3151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giros</w:t>
            </w:r>
          </w:p>
        </w:tc>
        <w:tc>
          <w:tcPr>
            <w:tcW w:w="3156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Requisitos</w:t>
            </w:r>
          </w:p>
        </w:tc>
        <w:tc>
          <w:tcPr>
            <w:tcW w:w="2748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Autorización</w:t>
            </w:r>
          </w:p>
        </w:tc>
      </w:tr>
      <w:tr w:rsidR="00D628CD" w:rsidTr="00D628CD">
        <w:tc>
          <w:tcPr>
            <w:tcW w:w="3151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comercio sin venta de bebidas </w:t>
            </w:r>
            <w:r w:rsidR="008F054F">
              <w:rPr>
                <w:rFonts w:ascii="Arial" w:hAnsi="Arial" w:cs="Arial"/>
                <w:sz w:val="16"/>
                <w:szCs w:val="16"/>
              </w:rPr>
              <w:t>alcohólicas</w:t>
            </w:r>
            <w:r>
              <w:rPr>
                <w:rFonts w:ascii="Arial" w:hAnsi="Arial" w:cs="Arial"/>
                <w:sz w:val="16"/>
                <w:szCs w:val="16"/>
              </w:rPr>
              <w:t xml:space="preserve"> y no contempladas como giro restringido.</w:t>
            </w:r>
          </w:p>
        </w:tc>
        <w:tc>
          <w:tcPr>
            <w:tcW w:w="3156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Identificación </w:t>
            </w:r>
            <w:r w:rsidR="008F054F">
              <w:rPr>
                <w:rFonts w:ascii="Arial" w:hAnsi="Arial" w:cs="Arial"/>
                <w:sz w:val="16"/>
                <w:szCs w:val="16"/>
              </w:rPr>
              <w:t>oficial</w:t>
            </w:r>
            <w:r>
              <w:rPr>
                <w:rFonts w:ascii="Arial" w:hAnsi="Arial" w:cs="Arial"/>
                <w:sz w:val="16"/>
                <w:szCs w:val="16"/>
              </w:rPr>
              <w:t xml:space="preserve"> vigente</w:t>
            </w: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Comprobante domicilio</w:t>
            </w: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fiscal de contribuyente.</w:t>
            </w: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Se </w:t>
            </w:r>
            <w:r w:rsidR="008F054F">
              <w:rPr>
                <w:rFonts w:ascii="Arial" w:hAnsi="Arial" w:cs="Arial"/>
                <w:sz w:val="16"/>
                <w:szCs w:val="16"/>
              </w:rPr>
              <w:t>dará</w:t>
            </w:r>
            <w:r>
              <w:rPr>
                <w:rFonts w:ascii="Arial" w:hAnsi="Arial" w:cs="Arial"/>
                <w:sz w:val="16"/>
                <w:szCs w:val="16"/>
              </w:rPr>
              <w:t xml:space="preserve"> dicha autorización en la atribución y facultativo al Director de </w:t>
            </w:r>
            <w:r w:rsidR="008F054F">
              <w:rPr>
                <w:rFonts w:ascii="Arial" w:hAnsi="Arial" w:cs="Arial"/>
                <w:sz w:val="16"/>
                <w:szCs w:val="16"/>
              </w:rPr>
              <w:t>Padrón</w:t>
            </w:r>
            <w:r>
              <w:rPr>
                <w:rFonts w:ascii="Arial" w:hAnsi="Arial" w:cs="Arial"/>
                <w:sz w:val="16"/>
                <w:szCs w:val="16"/>
              </w:rPr>
              <w:t xml:space="preserve"> y licencias con el visto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bueno de la </w:t>
            </w:r>
            <w:r w:rsidR="008F054F">
              <w:rPr>
                <w:rFonts w:ascii="Arial" w:hAnsi="Arial" w:cs="Arial"/>
                <w:sz w:val="16"/>
                <w:szCs w:val="16"/>
              </w:rPr>
              <w:t>Dirección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F054F">
              <w:rPr>
                <w:rFonts w:ascii="Arial" w:hAnsi="Arial" w:cs="Arial"/>
                <w:sz w:val="16"/>
                <w:szCs w:val="16"/>
              </w:rPr>
              <w:t>Protección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Civil.</w:t>
            </w:r>
          </w:p>
        </w:tc>
      </w:tr>
      <w:tr w:rsidR="00D628CD" w:rsidTr="00D628CD">
        <w:tc>
          <w:tcPr>
            <w:tcW w:w="3151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los giros de control especial</w:t>
            </w:r>
          </w:p>
        </w:tc>
        <w:tc>
          <w:tcPr>
            <w:tcW w:w="3156" w:type="dxa"/>
          </w:tcPr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Permiso de construcción.</w:t>
            </w: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uso de suelo</w:t>
            </w: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Dictamen de riesgo (cuando lo requiera)</w:t>
            </w:r>
          </w:p>
          <w:p w:rsidR="00D628CD" w:rsidRDefault="00D628CD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adeudo de predial y agua</w:t>
            </w:r>
          </w:p>
          <w:p w:rsidR="008F054F" w:rsidRDefault="008F054F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 de vecinos</w:t>
            </w:r>
          </w:p>
          <w:p w:rsidR="008F054F" w:rsidRDefault="008F054F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de arrendamiento</w:t>
            </w:r>
          </w:p>
          <w:p w:rsidR="008F054F" w:rsidRDefault="008F054F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Autorización por COPRISJAL (cuando lo requiera)</w:t>
            </w:r>
          </w:p>
        </w:tc>
        <w:tc>
          <w:tcPr>
            <w:tcW w:w="2748" w:type="dxa"/>
          </w:tcPr>
          <w:p w:rsidR="00D628CD" w:rsidRDefault="008F054F" w:rsidP="00D62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da la autorización por la COMISION.</w:t>
            </w:r>
          </w:p>
        </w:tc>
      </w:tr>
    </w:tbl>
    <w:p w:rsidR="00D628CD" w:rsidRPr="00D628CD" w:rsidRDefault="00D628CD" w:rsidP="00D628CD">
      <w:pPr>
        <w:jc w:val="both"/>
        <w:rPr>
          <w:rFonts w:ascii="Arial" w:hAnsi="Arial" w:cs="Arial"/>
          <w:sz w:val="16"/>
          <w:szCs w:val="16"/>
        </w:rPr>
      </w:pPr>
    </w:p>
    <w:p w:rsidR="003A03AE" w:rsidRPr="00DD3104" w:rsidRDefault="003A03AE" w:rsidP="003A03AE">
      <w:pPr>
        <w:jc w:val="both"/>
        <w:rPr>
          <w:rFonts w:ascii="Arial" w:hAnsi="Arial" w:cs="Arial"/>
          <w:b/>
          <w:sz w:val="22"/>
          <w:szCs w:val="22"/>
        </w:rPr>
      </w:pPr>
      <w:r w:rsidRPr="00DD3104">
        <w:rPr>
          <w:rFonts w:ascii="Arial" w:hAnsi="Arial" w:cs="Arial"/>
          <w:b/>
          <w:sz w:val="22"/>
        </w:rPr>
        <w:t>Acuerdo.-  Con 12 votos a favor de determina por el pleno AUTORIZACION PARA TOMAR LAS ACCIONES Y CONDICIONES PARA LA APLICACIÓN DEL OPERATIVO ESPACION DIGNOS 2019.</w:t>
      </w:r>
    </w:p>
    <w:p w:rsidR="003A03AE" w:rsidRPr="00DD3104" w:rsidRDefault="003A03AE" w:rsidP="00DD3104">
      <w:pPr>
        <w:jc w:val="both"/>
        <w:rPr>
          <w:rFonts w:ascii="Arial" w:hAnsi="Arial" w:cs="Arial"/>
          <w:b/>
          <w:sz w:val="22"/>
          <w:szCs w:val="22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Tesorero Municipal.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asuntos que tratar.</w:t>
      </w:r>
    </w:p>
    <w:p w:rsidR="00935658" w:rsidRDefault="00935658" w:rsidP="00935658">
      <w:pPr>
        <w:jc w:val="both"/>
        <w:rPr>
          <w:rFonts w:ascii="Arial" w:hAnsi="Arial" w:cs="Arial"/>
          <w:b/>
          <w:sz w:val="20"/>
          <w:szCs w:val="20"/>
        </w:rPr>
      </w:pPr>
    </w:p>
    <w:p w:rsidR="00935658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la Dirección de Comercio.</w:t>
      </w:r>
    </w:p>
    <w:p w:rsidR="00F2182F" w:rsidRPr="001763EA" w:rsidRDefault="00F2182F" w:rsidP="00F2182F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935658" w:rsidRDefault="00DD3104" w:rsidP="0093565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asunto que tratar</w:t>
      </w:r>
    </w:p>
    <w:p w:rsidR="00935658" w:rsidRPr="001763EA" w:rsidRDefault="00935658" w:rsidP="001763E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763EA">
        <w:rPr>
          <w:rFonts w:ascii="Arial" w:hAnsi="Arial" w:cs="Arial"/>
          <w:b/>
          <w:sz w:val="20"/>
          <w:szCs w:val="20"/>
        </w:rPr>
        <w:t>Por el Director de Seguridad Pública.</w:t>
      </w:r>
    </w:p>
    <w:p w:rsidR="00935658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DD3104" w:rsidP="009356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asunto que tratar</w:t>
      </w:r>
    </w:p>
    <w:p w:rsidR="00935658" w:rsidRPr="00F007FB" w:rsidRDefault="00935658" w:rsidP="00935658">
      <w:pPr>
        <w:jc w:val="both"/>
        <w:rPr>
          <w:rFonts w:ascii="Arial" w:hAnsi="Arial" w:cs="Arial"/>
          <w:sz w:val="20"/>
          <w:szCs w:val="20"/>
        </w:rPr>
      </w:pP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Se presenta por parte de la Dirección de Padrón y Licencias las solicitudes de licencia comercial con venta de alcohol con la relación siguiente:</w:t>
      </w:r>
    </w:p>
    <w:p w:rsidR="00935658" w:rsidRDefault="00935658" w:rsidP="0093565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569"/>
        <w:gridCol w:w="142"/>
        <w:gridCol w:w="4536"/>
        <w:gridCol w:w="2284"/>
      </w:tblGrid>
      <w:tr w:rsidR="00935658" w:rsidTr="008F5746">
        <w:tc>
          <w:tcPr>
            <w:tcW w:w="1524" w:type="dxa"/>
          </w:tcPr>
          <w:p w:rsidR="00935658" w:rsidRDefault="002E415C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</w:t>
            </w:r>
          </w:p>
        </w:tc>
        <w:tc>
          <w:tcPr>
            <w:tcW w:w="711" w:type="dxa"/>
            <w:gridSpan w:val="2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4536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Observación</w:t>
            </w:r>
          </w:p>
        </w:tc>
        <w:tc>
          <w:tcPr>
            <w:tcW w:w="228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935658" w:rsidTr="008F5746">
        <w:tc>
          <w:tcPr>
            <w:tcW w:w="152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  <w:gridSpan w:val="2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8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35658" w:rsidTr="008F5746">
        <w:tc>
          <w:tcPr>
            <w:tcW w:w="152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  <w:gridSpan w:val="2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8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35658" w:rsidTr="008F5746">
        <w:tc>
          <w:tcPr>
            <w:tcW w:w="152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9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  <w:gridSpan w:val="2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84" w:type="dxa"/>
          </w:tcPr>
          <w:p w:rsidR="00935658" w:rsidRDefault="00935658" w:rsidP="00F2182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45EDA" w:rsidRDefault="00545EDA" w:rsidP="006571FF">
      <w:pPr>
        <w:jc w:val="both"/>
        <w:rPr>
          <w:rFonts w:ascii="Arial" w:hAnsi="Arial" w:cs="Arial"/>
          <w:sz w:val="20"/>
          <w:szCs w:val="20"/>
        </w:rPr>
      </w:pPr>
    </w:p>
    <w:p w:rsidR="007A6AC8" w:rsidRPr="008F5746" w:rsidRDefault="00935658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571FF">
        <w:rPr>
          <w:rFonts w:ascii="Arial" w:hAnsi="Arial" w:cs="Arial"/>
          <w:b/>
          <w:sz w:val="22"/>
          <w:szCs w:val="22"/>
        </w:rPr>
        <w:t>.- Asuntos Generales.</w:t>
      </w:r>
    </w:p>
    <w:p w:rsidR="001B5FD0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7400EF" w:rsidRDefault="007400E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2E415C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D628CD">
        <w:rPr>
          <w:rFonts w:ascii="Arial" w:hAnsi="Arial" w:cs="Arial"/>
          <w:sz w:val="22"/>
        </w:rPr>
        <w:t>16 horas con 45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FE0F41">
        <w:rPr>
          <w:rFonts w:ascii="Arial" w:hAnsi="Arial" w:cs="Arial"/>
          <w:sz w:val="22"/>
        </w:rPr>
        <w:t>18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 w:rsidR="00D628CD">
        <w:rPr>
          <w:rFonts w:ascii="Arial" w:hAnsi="Arial" w:cs="Arial"/>
          <w:sz w:val="22"/>
        </w:rPr>
        <w:t xml:space="preserve"> julio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684B37">
        <w:rPr>
          <w:rFonts w:ascii="Arial" w:hAnsi="Arial" w:cs="Arial"/>
          <w:sz w:val="22"/>
        </w:rPr>
        <w:t>11</w:t>
      </w:r>
      <w:bookmarkStart w:id="0" w:name="_GoBack"/>
      <w:bookmarkEnd w:id="0"/>
      <w:r w:rsidR="000A549F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del salón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Pr="00BF6F58">
              <w:rPr>
                <w:rFonts w:ascii="Arial" w:hAnsi="Arial" w:cs="Arial"/>
                <w:lang w:val="pt-PT"/>
              </w:rPr>
              <w:t>Delegada. YAMILET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E2" w:rsidRDefault="004355E2" w:rsidP="00E161C3">
      <w:r>
        <w:separator/>
      </w:r>
    </w:p>
  </w:endnote>
  <w:endnote w:type="continuationSeparator" w:id="0">
    <w:p w:rsidR="004355E2" w:rsidRDefault="004355E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 Semi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2F" w:rsidRDefault="00F21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182F" w:rsidRDefault="00F21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2F" w:rsidRDefault="00F2182F">
    <w:pPr>
      <w:pStyle w:val="Piedepgina"/>
      <w:jc w:val="right"/>
    </w:pPr>
  </w:p>
  <w:p w:rsidR="00F2182F" w:rsidRDefault="00F218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84B37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84B37">
      <w:rPr>
        <w:b/>
        <w:bCs/>
        <w:noProof/>
      </w:rPr>
      <w:t>7</w:t>
    </w:r>
    <w:r>
      <w:rPr>
        <w:b/>
        <w:bCs/>
      </w:rPr>
      <w:fldChar w:fldCharType="end"/>
    </w:r>
  </w:p>
  <w:p w:rsidR="00F2182F" w:rsidRDefault="00FC0DA1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24 de  junio</w:t>
    </w:r>
    <w:r w:rsidR="00F2182F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E2" w:rsidRDefault="004355E2" w:rsidP="00E161C3">
      <w:r>
        <w:separator/>
      </w:r>
    </w:p>
  </w:footnote>
  <w:footnote w:type="continuationSeparator" w:id="0">
    <w:p w:rsidR="004355E2" w:rsidRDefault="004355E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2F" w:rsidRDefault="00F218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182F" w:rsidRDefault="00F218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2F" w:rsidRDefault="00F2182F">
    <w:pPr>
      <w:pStyle w:val="Ttulo1"/>
      <w:rPr>
        <w:b/>
      </w:rPr>
    </w:pPr>
  </w:p>
  <w:p w:rsidR="00F2182F" w:rsidRDefault="00F2182F">
    <w:pPr>
      <w:pStyle w:val="Ttulo1"/>
      <w:rPr>
        <w:b/>
      </w:rPr>
    </w:pPr>
    <w:r>
      <w:rPr>
        <w:b/>
      </w:rPr>
      <w:t xml:space="preserve">          </w:t>
    </w:r>
  </w:p>
  <w:p w:rsidR="00F2182F" w:rsidRDefault="00A71B38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10</w:t>
    </w:r>
    <w:r w:rsidR="00F2182F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4"/>
  </w:num>
  <w:num w:numId="5">
    <w:abstractNumId w:val="19"/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20"/>
  </w:num>
  <w:num w:numId="16">
    <w:abstractNumId w:val="17"/>
  </w:num>
  <w:num w:numId="17">
    <w:abstractNumId w:val="5"/>
  </w:num>
  <w:num w:numId="18">
    <w:abstractNumId w:val="7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847FF"/>
    <w:rsid w:val="00087D0A"/>
    <w:rsid w:val="00092DC9"/>
    <w:rsid w:val="000A549F"/>
    <w:rsid w:val="000B25C0"/>
    <w:rsid w:val="000D6AB4"/>
    <w:rsid w:val="000E25AA"/>
    <w:rsid w:val="00131F44"/>
    <w:rsid w:val="00161955"/>
    <w:rsid w:val="001647B5"/>
    <w:rsid w:val="001763EA"/>
    <w:rsid w:val="00186B91"/>
    <w:rsid w:val="0019044F"/>
    <w:rsid w:val="00191FF0"/>
    <w:rsid w:val="001A6262"/>
    <w:rsid w:val="001B3F5A"/>
    <w:rsid w:val="001B5FD0"/>
    <w:rsid w:val="0020078D"/>
    <w:rsid w:val="00217B70"/>
    <w:rsid w:val="002546C9"/>
    <w:rsid w:val="00263000"/>
    <w:rsid w:val="00286173"/>
    <w:rsid w:val="00292FB9"/>
    <w:rsid w:val="00296E07"/>
    <w:rsid w:val="002972CB"/>
    <w:rsid w:val="002A1824"/>
    <w:rsid w:val="002B69AF"/>
    <w:rsid w:val="002D586D"/>
    <w:rsid w:val="002E415C"/>
    <w:rsid w:val="002F490B"/>
    <w:rsid w:val="00300F35"/>
    <w:rsid w:val="003609AC"/>
    <w:rsid w:val="003667F8"/>
    <w:rsid w:val="003A03AE"/>
    <w:rsid w:val="003D1C13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45EDA"/>
    <w:rsid w:val="005A401E"/>
    <w:rsid w:val="005B3A6F"/>
    <w:rsid w:val="005B7F35"/>
    <w:rsid w:val="00621AF9"/>
    <w:rsid w:val="006448BD"/>
    <w:rsid w:val="006571FF"/>
    <w:rsid w:val="00684B37"/>
    <w:rsid w:val="00696768"/>
    <w:rsid w:val="006A6EEE"/>
    <w:rsid w:val="006E2284"/>
    <w:rsid w:val="00711E50"/>
    <w:rsid w:val="007400EF"/>
    <w:rsid w:val="0075566B"/>
    <w:rsid w:val="00786BB6"/>
    <w:rsid w:val="00797F31"/>
    <w:rsid w:val="007A6AC8"/>
    <w:rsid w:val="007B73A7"/>
    <w:rsid w:val="007C3631"/>
    <w:rsid w:val="007F300B"/>
    <w:rsid w:val="00811E81"/>
    <w:rsid w:val="00850C4C"/>
    <w:rsid w:val="00871ED7"/>
    <w:rsid w:val="008B5BFE"/>
    <w:rsid w:val="008C769F"/>
    <w:rsid w:val="008D24FF"/>
    <w:rsid w:val="008D6F71"/>
    <w:rsid w:val="008E779E"/>
    <w:rsid w:val="008F054F"/>
    <w:rsid w:val="008F5746"/>
    <w:rsid w:val="00935658"/>
    <w:rsid w:val="009358BF"/>
    <w:rsid w:val="00936B8C"/>
    <w:rsid w:val="009557DF"/>
    <w:rsid w:val="009A23F7"/>
    <w:rsid w:val="009B3776"/>
    <w:rsid w:val="009E2CDE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8"/>
    <w:rsid w:val="00AA63F3"/>
    <w:rsid w:val="00AC52B1"/>
    <w:rsid w:val="00AD7789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F0BA5"/>
    <w:rsid w:val="00BF1575"/>
    <w:rsid w:val="00BF6F58"/>
    <w:rsid w:val="00C20023"/>
    <w:rsid w:val="00C26A9E"/>
    <w:rsid w:val="00C34116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75039"/>
    <w:rsid w:val="00D80C8A"/>
    <w:rsid w:val="00DA5A4E"/>
    <w:rsid w:val="00DB34DC"/>
    <w:rsid w:val="00DC3D0F"/>
    <w:rsid w:val="00DD3104"/>
    <w:rsid w:val="00DD792A"/>
    <w:rsid w:val="00DE49C2"/>
    <w:rsid w:val="00DF6D9E"/>
    <w:rsid w:val="00DF7B59"/>
    <w:rsid w:val="00E161C3"/>
    <w:rsid w:val="00E211EC"/>
    <w:rsid w:val="00E8675D"/>
    <w:rsid w:val="00EE6027"/>
    <w:rsid w:val="00F007FB"/>
    <w:rsid w:val="00F2182F"/>
    <w:rsid w:val="00F21F70"/>
    <w:rsid w:val="00F255C4"/>
    <w:rsid w:val="00F2585A"/>
    <w:rsid w:val="00F2711C"/>
    <w:rsid w:val="00F35625"/>
    <w:rsid w:val="00F534FB"/>
    <w:rsid w:val="00F72261"/>
    <w:rsid w:val="00F8728E"/>
    <w:rsid w:val="00F90720"/>
    <w:rsid w:val="00F91C30"/>
    <w:rsid w:val="00FA0490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3385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40</cp:revision>
  <cp:lastPrinted>2018-10-24T22:13:00Z</cp:lastPrinted>
  <dcterms:created xsi:type="dcterms:W3CDTF">2019-01-03T19:33:00Z</dcterms:created>
  <dcterms:modified xsi:type="dcterms:W3CDTF">2019-07-09T22:15:00Z</dcterms:modified>
</cp:coreProperties>
</file>