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5A452E">
        <w:rPr>
          <w:rFonts w:ascii="Arial" w:hAnsi="Arial" w:cs="Arial"/>
          <w:sz w:val="22"/>
        </w:rPr>
        <w:t>alisco siendo las 1</w:t>
      </w:r>
      <w:r w:rsidR="001F7E84">
        <w:rPr>
          <w:rFonts w:ascii="Arial" w:hAnsi="Arial" w:cs="Arial"/>
          <w:sz w:val="22"/>
        </w:rPr>
        <w:t xml:space="preserve">  horas con 4</w:t>
      </w:r>
      <w:r w:rsidR="00BC750A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F7E84">
        <w:rPr>
          <w:rFonts w:ascii="Arial" w:hAnsi="Arial" w:cs="Arial"/>
          <w:sz w:val="22"/>
        </w:rPr>
        <w:t xml:space="preserve"> 5 de Febrero</w:t>
      </w:r>
      <w:r w:rsidR="00D63F79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D63F79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1763EA">
        <w:rPr>
          <w:rFonts w:ascii="Arial" w:hAnsi="Arial" w:cs="Arial"/>
          <w:sz w:val="22"/>
        </w:rPr>
        <w:t xml:space="preserve"> de esta comisión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p w:rsid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Reglamento de la Comisión: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>CAPÍTULO II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A71B38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A71B38">
        <w:rPr>
          <w:rFonts w:ascii="Arial" w:hAnsi="Arial" w:cs="Arial"/>
          <w:b/>
          <w:sz w:val="16"/>
          <w:szCs w:val="16"/>
        </w:rPr>
        <w:t xml:space="preserve"> del Comisión.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Artículo 4. – </w:t>
      </w:r>
      <w:r w:rsidRPr="00A71B38">
        <w:rPr>
          <w:rFonts w:ascii="Arial" w:hAnsi="Arial" w:cs="Arial"/>
          <w:sz w:val="16"/>
          <w:szCs w:val="16"/>
        </w:rPr>
        <w:t>La Comisión Técnico de regularización de  giros de control especial del Gobierno Constitucional del Municipio de San Juan de Los Lagos, se integrará de la siguiente forma:</w:t>
      </w:r>
    </w:p>
    <w:p w:rsidR="00A71B38" w:rsidRDefault="00A71B38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9358BF">
              <w:rPr>
                <w:rFonts w:ascii="Arial" w:hAnsi="Arial" w:cs="Arial"/>
                <w:sz w:val="22"/>
              </w:rPr>
              <w:t>LIC. HUGO ARMANDO MARTINEZ ZACARIAS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9F0557">
              <w:rPr>
                <w:rFonts w:ascii="Arial" w:hAnsi="Arial" w:cs="Arial"/>
                <w:sz w:val="22"/>
              </w:rPr>
              <w:t xml:space="preserve"> y Reglamentos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Empresarial. MIGUEL ANGEL MARQUEZ DE ALBA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0D6AB4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</w:t>
            </w:r>
            <w:r w:rsidR="009358BF">
              <w:rPr>
                <w:rFonts w:ascii="Arial" w:hAnsi="Arial" w:cs="Arial"/>
                <w:sz w:val="22"/>
              </w:rPr>
              <w:lastRenderedPageBreak/>
              <w:t>PUMQ. HILARIO XOCHIPA 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1763EA">
              <w:rPr>
                <w:rFonts w:ascii="Arial" w:hAnsi="Arial" w:cs="Arial"/>
                <w:sz w:val="22"/>
              </w:rPr>
              <w:t xml:space="preserve"> </w:t>
            </w:r>
            <w:r w:rsidR="00EE1B4F">
              <w:rPr>
                <w:rFonts w:ascii="Arial" w:hAnsi="Arial" w:cs="Arial"/>
                <w:sz w:val="22"/>
              </w:rPr>
              <w:t>GERARDO XOCHIPA VALENCIA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4E63F2">
              <w:rPr>
                <w:rFonts w:ascii="Arial" w:hAnsi="Arial" w:cs="Arial"/>
                <w:sz w:val="22"/>
              </w:rPr>
              <w:t xml:space="preserve"> YAMILE LOPEZ </w:t>
            </w:r>
            <w:r w:rsidR="009358BF">
              <w:rPr>
                <w:rFonts w:ascii="Arial" w:hAnsi="Arial" w:cs="Arial"/>
                <w:sz w:val="22"/>
              </w:rPr>
              <w:t xml:space="preserve">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Default="001B3F5A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FATIMA DEL ROSARIO GUTIERREZ MARTINEZ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C750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F3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71B3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C750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9F0557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  <w:r w:rsidR="0027746A">
              <w:rPr>
                <w:rFonts w:ascii="Arial" w:hAnsi="Arial" w:cs="Arial"/>
                <w:sz w:val="22"/>
              </w:rPr>
              <w:t>.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4E63F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1F7E8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4E63F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4E63F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E1B4F" w:rsidRDefault="00EE1B4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1763EA" w:rsidRDefault="001763E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76044" w:rsidRDefault="002630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1763E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1763EA" w:rsidRDefault="001763EA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1763EA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1763EA" w:rsidRDefault="00797F31" w:rsidP="004760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 xml:space="preserve">Lectura </w:t>
      </w:r>
      <w:r w:rsidR="001763EA">
        <w:rPr>
          <w:rFonts w:ascii="Arial" w:hAnsi="Arial" w:cs="Arial"/>
          <w:sz w:val="22"/>
        </w:rPr>
        <w:t xml:space="preserve">y aprobación del </w:t>
      </w:r>
      <w:r w:rsidR="000E25AA">
        <w:rPr>
          <w:rFonts w:ascii="Arial" w:hAnsi="Arial" w:cs="Arial"/>
          <w:sz w:val="22"/>
        </w:rPr>
        <w:t xml:space="preserve">acta anterior </w:t>
      </w:r>
      <w:r w:rsidR="002E415C">
        <w:rPr>
          <w:rFonts w:ascii="Arial" w:hAnsi="Arial" w:cs="Arial"/>
          <w:sz w:val="22"/>
        </w:rPr>
        <w:t>así</w:t>
      </w:r>
      <w:r w:rsidR="001763EA">
        <w:rPr>
          <w:rFonts w:ascii="Arial" w:hAnsi="Arial" w:cs="Arial"/>
          <w:sz w:val="22"/>
        </w:rPr>
        <w:t xml:space="preserve"> como la </w:t>
      </w:r>
      <w:r w:rsidR="00476044" w:rsidRPr="00476044">
        <w:rPr>
          <w:rFonts w:ascii="Arial" w:hAnsi="Arial" w:cs="Arial"/>
          <w:sz w:val="22"/>
        </w:rPr>
        <w:t xml:space="preserve">aprobación del orden del día.- </w:t>
      </w:r>
    </w:p>
    <w:p w:rsidR="001763EA" w:rsidRDefault="001763EA" w:rsidP="00476044">
      <w:pPr>
        <w:jc w:val="both"/>
        <w:rPr>
          <w:rFonts w:ascii="Arial" w:hAnsi="Arial" w:cs="Arial"/>
          <w:sz w:val="22"/>
        </w:rPr>
      </w:pPr>
    </w:p>
    <w:p w:rsidR="00476044" w:rsidRDefault="001763EA" w:rsidP="00476044">
      <w:pPr>
        <w:jc w:val="both"/>
        <w:rPr>
          <w:rFonts w:ascii="Arial" w:hAnsi="Arial" w:cs="Arial"/>
          <w:sz w:val="20"/>
          <w:szCs w:val="20"/>
        </w:rPr>
      </w:pPr>
      <w:r w:rsidRPr="001763EA">
        <w:rPr>
          <w:rFonts w:ascii="Arial" w:hAnsi="Arial" w:cs="Arial"/>
          <w:b/>
          <w:sz w:val="22"/>
        </w:rPr>
        <w:t>A</w:t>
      </w:r>
      <w:r w:rsidR="00476044" w:rsidRPr="001763EA">
        <w:rPr>
          <w:rFonts w:ascii="Arial" w:hAnsi="Arial" w:cs="Arial"/>
          <w:b/>
          <w:sz w:val="22"/>
        </w:rPr>
        <w:t xml:space="preserve">cuerdo.- </w:t>
      </w:r>
      <w:r>
        <w:rPr>
          <w:rFonts w:ascii="Arial" w:hAnsi="Arial" w:cs="Arial"/>
          <w:sz w:val="22"/>
        </w:rPr>
        <w:t>U</w:t>
      </w:r>
      <w:r w:rsidR="00476044" w:rsidRPr="00476044">
        <w:rPr>
          <w:rFonts w:ascii="Arial" w:hAnsi="Arial" w:cs="Arial"/>
          <w:sz w:val="22"/>
        </w:rPr>
        <w:t>na vez sometido a consideración el orden del día, previamen</w:t>
      </w:r>
      <w:r w:rsidR="00263000">
        <w:rPr>
          <w:rFonts w:ascii="Arial" w:hAnsi="Arial" w:cs="Arial"/>
          <w:sz w:val="22"/>
        </w:rPr>
        <w:t>te</w:t>
      </w:r>
      <w:r w:rsidR="00163D19">
        <w:rPr>
          <w:rFonts w:ascii="Arial" w:hAnsi="Arial" w:cs="Arial"/>
          <w:sz w:val="22"/>
        </w:rPr>
        <w:t xml:space="preserve"> circulado, es aprobado por 10</w:t>
      </w:r>
      <w:r w:rsidR="00D80C8A">
        <w:rPr>
          <w:rFonts w:ascii="Arial" w:hAnsi="Arial" w:cs="Arial"/>
          <w:sz w:val="22"/>
        </w:rPr>
        <w:t xml:space="preserve">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</w:t>
      </w:r>
      <w:r w:rsidR="00962DB0">
        <w:rPr>
          <w:rFonts w:ascii="Arial" w:hAnsi="Arial" w:cs="Arial"/>
          <w:sz w:val="22"/>
        </w:rPr>
        <w:t>esponde a una mayoría calificada</w:t>
      </w:r>
      <w:r w:rsidR="00476044" w:rsidRPr="00476044">
        <w:rPr>
          <w:rFonts w:ascii="Arial" w:hAnsi="Arial" w:cs="Arial"/>
          <w:sz w:val="22"/>
        </w:rPr>
        <w:t xml:space="preserve"> se aprueba el orden del día sometido.</w:t>
      </w:r>
      <w:r w:rsidR="00797F31"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Default="007C3631" w:rsidP="00E161C3">
      <w:pPr>
        <w:jc w:val="both"/>
        <w:rPr>
          <w:rFonts w:ascii="Arial" w:hAnsi="Arial" w:cs="Arial"/>
          <w:sz w:val="22"/>
        </w:rPr>
      </w:pPr>
      <w:r w:rsidRPr="007C3631">
        <w:rPr>
          <w:rFonts w:ascii="Arial" w:hAnsi="Arial" w:cs="Arial"/>
          <w:sz w:val="22"/>
        </w:rPr>
        <w:t>Y que con fundamento en el Reglamento de la Comis</w:t>
      </w:r>
      <w:r>
        <w:rPr>
          <w:rFonts w:ascii="Arial" w:hAnsi="Arial" w:cs="Arial"/>
          <w:sz w:val="22"/>
        </w:rPr>
        <w:t xml:space="preserve">ión Técnica de Comercio, </w:t>
      </w:r>
      <w:r w:rsidR="008F5746">
        <w:rPr>
          <w:rFonts w:ascii="Arial" w:hAnsi="Arial" w:cs="Arial"/>
          <w:sz w:val="22"/>
        </w:rPr>
        <w:t>Padrón</w:t>
      </w:r>
      <w:r>
        <w:rPr>
          <w:rFonts w:ascii="Arial" w:hAnsi="Arial" w:cs="Arial"/>
          <w:sz w:val="22"/>
        </w:rPr>
        <w:t xml:space="preserve"> y Licencias y Giros restringidos del</w:t>
      </w:r>
      <w:r w:rsidRPr="007C3631">
        <w:rPr>
          <w:rFonts w:ascii="Arial" w:hAnsi="Arial" w:cs="Arial"/>
          <w:sz w:val="22"/>
        </w:rPr>
        <w:t xml:space="preserve"> Municipio de San Juan de los Lagos:</w:t>
      </w:r>
    </w:p>
    <w:p w:rsidR="007C3631" w:rsidRDefault="007C3631" w:rsidP="00E161C3">
      <w:pPr>
        <w:jc w:val="both"/>
        <w:rPr>
          <w:rFonts w:ascii="Arial" w:hAnsi="Arial" w:cs="Arial"/>
          <w:sz w:val="22"/>
        </w:rPr>
      </w:pPr>
    </w:p>
    <w:p w:rsidR="007C3631" w:rsidRPr="007C3631" w:rsidRDefault="007C3631" w:rsidP="007C3631">
      <w:pPr>
        <w:jc w:val="both"/>
        <w:rPr>
          <w:rFonts w:ascii="Arial" w:hAnsi="Arial" w:cs="Arial"/>
          <w:b/>
          <w:sz w:val="16"/>
          <w:szCs w:val="16"/>
        </w:rPr>
      </w:pPr>
      <w:r w:rsidRPr="007C3631">
        <w:rPr>
          <w:rFonts w:ascii="Arial" w:hAnsi="Arial" w:cs="Arial"/>
          <w:b/>
          <w:sz w:val="16"/>
          <w:szCs w:val="16"/>
        </w:rPr>
        <w:t xml:space="preserve">Artículo 3. – </w:t>
      </w:r>
      <w:r w:rsidRPr="007C3631">
        <w:rPr>
          <w:rFonts w:ascii="Arial" w:hAnsi="Arial" w:cs="Arial"/>
          <w:sz w:val="16"/>
          <w:szCs w:val="16"/>
        </w:rPr>
        <w:t>La Comisión Técnica de Comercio, Padrón y Licencias, y Giros Restringidos del Gobierno Constitucional del Municipio de San Juan de los Lagos, es un Órgano Colegiado de carácter permanente y está facultado para:</w:t>
      </w: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Estudiar, revisar y formular peticiones que tengan que ver con la autorización de  giros comerciales de control especial que comprenden los siguientes: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a)  Giros que expendan bebidas alcohólicas o cerveza en botella cerrada o para consumo dentro de los establecimientos, adicionalmente a otras actividades que realicen;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b)  Expendios de bebidas alcohólicas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c)  Expendios de cerveza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d)  Bares;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e)  Cantinas;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f)  Centros botaneros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g) Establecimientos donde se alimenten, reproduzcan o se sacrifiquen animales o que se conserven, vendan o distribuyan carnes para consumo humano;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h)  Cabarets y discotecas;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i)   Salones de billar;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j)  Giros que distribuyan o expendan sustancias peligrosas, o solventes;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k) Giros dedicados a la operación o venta de boletos o billetes para rifas, sorteos, loterías, pronósticos deportivos y demás juegos de azar permitidos por la ley;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l)  Estéticas y salones de belleza;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m) Salones de eventos y banquetes con consumo de bebidas alcohólicas;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n)  Los dedicados a los espectáculos públicos;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o)  Giros dedicados a la explotación de los materiales de construcción;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 xml:space="preserve">p) Giros dedicados al funcionamiento de juegos mecánicos, electromecánicos y electrónicos accionados con fichas, monedas o su equivalente, con excepción de los juegos electromecánicos infantiles anexos a un giro principal, dentro del establecimiento autorizado, de los cuales se podrán permitir hasta dos juegos; y 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q)  Giros dedicados al alquiler de equipo de cómputo, Internet o cibercafes;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r)  Giros dedicados a la venta, atención y curación de animales domésticos;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s)  Giros donde se vendan y consuman alimentos naturales procesados;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t)  Giros que expendan o distribuyan medicamentos o psicotrópicos.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u) Gasolineras;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v) Hoteles y moteles;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lastRenderedPageBreak/>
        <w:t xml:space="preserve">w) Comercio en puestos semifijos en la vía </w:t>
      </w:r>
      <w:r w:rsidR="008F5746" w:rsidRPr="007C3631">
        <w:rPr>
          <w:rFonts w:ascii="Arial" w:hAnsi="Arial" w:cs="Arial"/>
          <w:sz w:val="16"/>
          <w:szCs w:val="16"/>
        </w:rPr>
        <w:t>pública</w:t>
      </w:r>
      <w:r w:rsidRPr="007C3631">
        <w:rPr>
          <w:rFonts w:ascii="Arial" w:hAnsi="Arial" w:cs="Arial"/>
          <w:sz w:val="16"/>
          <w:szCs w:val="16"/>
        </w:rPr>
        <w:t>.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En general, todo lo que tenga que ver con el funcionamiento de los giros de control especial y l</w:t>
      </w:r>
      <w:r w:rsidR="005A452E">
        <w:rPr>
          <w:rFonts w:ascii="Arial" w:hAnsi="Arial" w:cs="Arial"/>
          <w:sz w:val="16"/>
          <w:szCs w:val="16"/>
        </w:rPr>
        <w:t>a aplicación del Reglamento de C</w:t>
      </w:r>
      <w:r w:rsidRPr="007C3631">
        <w:rPr>
          <w:rFonts w:ascii="Arial" w:hAnsi="Arial" w:cs="Arial"/>
          <w:sz w:val="16"/>
          <w:szCs w:val="16"/>
        </w:rPr>
        <w:t>omercio.</w:t>
      </w:r>
    </w:p>
    <w:p w:rsidR="007C3631" w:rsidRPr="008C769F" w:rsidRDefault="007C3631" w:rsidP="00E161C3">
      <w:pPr>
        <w:jc w:val="both"/>
        <w:rPr>
          <w:rFonts w:ascii="Arial" w:hAnsi="Arial" w:cs="Arial"/>
          <w:sz w:val="22"/>
        </w:rPr>
      </w:pPr>
    </w:p>
    <w:p w:rsidR="00F007FB" w:rsidRDefault="00797F31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CF14AD" w:rsidRPr="00CF14AD">
        <w:rPr>
          <w:rFonts w:ascii="Arial" w:hAnsi="Arial" w:cs="Arial"/>
          <w:b/>
          <w:sz w:val="20"/>
          <w:szCs w:val="20"/>
        </w:rPr>
        <w:t xml:space="preserve"> </w:t>
      </w:r>
      <w:r w:rsidR="006571FF">
        <w:rPr>
          <w:rFonts w:ascii="Arial" w:hAnsi="Arial" w:cs="Arial"/>
          <w:sz w:val="20"/>
          <w:szCs w:val="20"/>
        </w:rPr>
        <w:t>Se presenta informe general a</w:t>
      </w:r>
      <w:r w:rsidR="0041669D">
        <w:rPr>
          <w:rFonts w:ascii="Arial" w:hAnsi="Arial" w:cs="Arial"/>
          <w:sz w:val="20"/>
          <w:szCs w:val="20"/>
        </w:rPr>
        <w:t xml:space="preserve"> la Direcciones</w:t>
      </w:r>
      <w:r w:rsidR="00476044">
        <w:rPr>
          <w:rFonts w:ascii="Arial" w:hAnsi="Arial" w:cs="Arial"/>
          <w:sz w:val="20"/>
          <w:szCs w:val="20"/>
        </w:rPr>
        <w:t xml:space="preserve"> en </w:t>
      </w:r>
      <w:r w:rsidR="000727B1">
        <w:rPr>
          <w:rFonts w:ascii="Arial" w:hAnsi="Arial" w:cs="Arial"/>
          <w:sz w:val="20"/>
          <w:szCs w:val="20"/>
        </w:rPr>
        <w:t>relación</w:t>
      </w:r>
      <w:r w:rsidR="006571FF">
        <w:rPr>
          <w:rFonts w:ascii="Arial" w:hAnsi="Arial" w:cs="Arial"/>
          <w:sz w:val="20"/>
          <w:szCs w:val="20"/>
        </w:rPr>
        <w:t xml:space="preserve"> a los siguientes temas.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Padrón y Licencias.</w:t>
      </w:r>
    </w:p>
    <w:p w:rsidR="007400EF" w:rsidRDefault="007400EF" w:rsidP="007400EF">
      <w:pPr>
        <w:jc w:val="both"/>
        <w:rPr>
          <w:rFonts w:ascii="Arial" w:hAnsi="Arial" w:cs="Arial"/>
          <w:sz w:val="22"/>
        </w:rPr>
      </w:pPr>
    </w:p>
    <w:p w:rsidR="00D63F79" w:rsidRPr="001F7E84" w:rsidRDefault="001F7E84" w:rsidP="001F7E8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</w:rPr>
        <w:t>Sin asuntos que tratar</w:t>
      </w:r>
    </w:p>
    <w:p w:rsidR="00A93F63" w:rsidRDefault="00A93F63" w:rsidP="007400EF">
      <w:pPr>
        <w:jc w:val="both"/>
        <w:rPr>
          <w:rFonts w:ascii="Arial" w:hAnsi="Arial" w:cs="Arial"/>
          <w:b/>
          <w:sz w:val="22"/>
        </w:rPr>
      </w:pPr>
    </w:p>
    <w:p w:rsidR="001F7E84" w:rsidRDefault="001F7E84" w:rsidP="007400E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Acuerdo.-  ninguno 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Tesorero Municipal.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890E25" w:rsidRPr="00890E25" w:rsidRDefault="001F7E84" w:rsidP="001F7E8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Sin asuntos que tratar</w:t>
      </w:r>
    </w:p>
    <w:p w:rsidR="00C870C3" w:rsidRPr="007400EF" w:rsidRDefault="001F7E84" w:rsidP="00C870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la Dirección de Comercio.</w:t>
      </w:r>
    </w:p>
    <w:p w:rsidR="00F2182F" w:rsidRPr="001763EA" w:rsidRDefault="00F2182F" w:rsidP="00F2182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4E63F2" w:rsidRPr="001F7E84" w:rsidRDefault="001F7E84" w:rsidP="00E740FF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Sin asuntos que tratar.</w:t>
      </w:r>
    </w:p>
    <w:p w:rsidR="00E740FF" w:rsidRDefault="001F7E84" w:rsidP="00E740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F7743E" w:rsidRDefault="00F7743E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Seguridad Pública.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F7743E" w:rsidRPr="00F7743E" w:rsidRDefault="001F7E84" w:rsidP="005765E0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35" w:lineRule="exact"/>
        <w:jc w:val="both"/>
        <w:rPr>
          <w:sz w:val="16"/>
          <w:szCs w:val="16"/>
        </w:rPr>
      </w:pPr>
      <w:r>
        <w:rPr>
          <w:rFonts w:ascii="Arial" w:hAnsi="Arial" w:cs="Arial"/>
          <w:sz w:val="22"/>
        </w:rPr>
        <w:t>Sin asuntos que tratar</w:t>
      </w:r>
    </w:p>
    <w:p w:rsidR="00935658" w:rsidRPr="00134A05" w:rsidRDefault="00935658" w:rsidP="00F7743E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C870C3" w:rsidRPr="00372EC0" w:rsidRDefault="001F7E84" w:rsidP="00C870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Pr="00F007FB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Se presenta por parte de la Dirección de Padrón y Licencias las solicitudes de licencia comercial con venta de alcohol con la relación siguiente:</w:t>
      </w: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686"/>
        <w:gridCol w:w="2284"/>
      </w:tblGrid>
      <w:tr w:rsidR="00935658" w:rsidRPr="00792C48" w:rsidTr="000764C8">
        <w:tc>
          <w:tcPr>
            <w:tcW w:w="1668" w:type="dxa"/>
          </w:tcPr>
          <w:p w:rsidR="00935658" w:rsidRPr="00792C48" w:rsidRDefault="00CD6E7C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Nombre solicitante</w:t>
            </w:r>
          </w:p>
        </w:tc>
        <w:tc>
          <w:tcPr>
            <w:tcW w:w="1417" w:type="dxa"/>
          </w:tcPr>
          <w:p w:rsidR="00935658" w:rsidRPr="00792C48" w:rsidRDefault="000764C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Tipo de Giro</w:t>
            </w:r>
          </w:p>
        </w:tc>
        <w:tc>
          <w:tcPr>
            <w:tcW w:w="3686" w:type="dxa"/>
          </w:tcPr>
          <w:p w:rsidR="00935658" w:rsidRPr="00792C48" w:rsidRDefault="003064D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2284" w:type="dxa"/>
          </w:tcPr>
          <w:p w:rsidR="00935658" w:rsidRPr="00792C48" w:rsidRDefault="0093565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Resolución por mayoría.</w:t>
            </w:r>
          </w:p>
        </w:tc>
      </w:tr>
      <w:tr w:rsidR="00935658" w:rsidRPr="00792C48" w:rsidTr="000764C8">
        <w:tc>
          <w:tcPr>
            <w:tcW w:w="1668" w:type="dxa"/>
          </w:tcPr>
          <w:p w:rsidR="00935658" w:rsidRPr="00792C48" w:rsidRDefault="00A93F63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5658" w:rsidRPr="00792C48" w:rsidRDefault="00A93F63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824804" w:rsidRPr="00792C48" w:rsidRDefault="00A93F63" w:rsidP="00824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935658" w:rsidRPr="00792C48" w:rsidRDefault="00A93F63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</w:tbl>
    <w:p w:rsidR="00545EDA" w:rsidRDefault="005D5A4B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Ninguno.- </w:t>
      </w:r>
    </w:p>
    <w:p w:rsidR="005D5A4B" w:rsidRDefault="005D5A4B" w:rsidP="006571FF">
      <w:pPr>
        <w:jc w:val="both"/>
        <w:rPr>
          <w:rFonts w:ascii="Arial" w:hAnsi="Arial" w:cs="Arial"/>
          <w:sz w:val="20"/>
          <w:szCs w:val="20"/>
        </w:rPr>
      </w:pPr>
    </w:p>
    <w:p w:rsidR="007A6AC8" w:rsidRPr="008F5746" w:rsidRDefault="00935658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571FF">
        <w:rPr>
          <w:rFonts w:ascii="Arial" w:hAnsi="Arial" w:cs="Arial"/>
          <w:b/>
          <w:sz w:val="22"/>
          <w:szCs w:val="22"/>
        </w:rPr>
        <w:t>.- Asuntos Generales.</w:t>
      </w:r>
    </w:p>
    <w:p w:rsidR="001B5FD0" w:rsidRDefault="001B5FD0" w:rsidP="00544591">
      <w:pPr>
        <w:jc w:val="both"/>
        <w:rPr>
          <w:rFonts w:ascii="Arial" w:hAnsi="Arial" w:cs="Arial"/>
          <w:sz w:val="22"/>
          <w:szCs w:val="22"/>
        </w:rPr>
      </w:pPr>
    </w:p>
    <w:p w:rsidR="00BC750A" w:rsidRDefault="00BC750A" w:rsidP="00BC75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presenta ante el pleno de la </w:t>
      </w:r>
      <w:r w:rsidR="005D5A4B">
        <w:rPr>
          <w:rFonts w:ascii="Arial" w:hAnsi="Arial" w:cs="Arial"/>
          <w:sz w:val="22"/>
          <w:szCs w:val="22"/>
        </w:rPr>
        <w:t xml:space="preserve">comisión un total de </w:t>
      </w:r>
      <w:r w:rsidR="00163D1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puntos generales, los cuales se aprueban por 10 votos a favor con mayoría relativa.</w:t>
      </w:r>
    </w:p>
    <w:p w:rsidR="00BC750A" w:rsidRPr="002972CB" w:rsidRDefault="00BC750A" w:rsidP="00BC750A">
      <w:pPr>
        <w:jc w:val="both"/>
        <w:rPr>
          <w:rFonts w:ascii="Arial" w:hAnsi="Arial" w:cs="Arial"/>
          <w:sz w:val="22"/>
        </w:rPr>
      </w:pPr>
    </w:p>
    <w:p w:rsidR="00BC750A" w:rsidRDefault="00BC750A" w:rsidP="00BC750A">
      <w:pPr>
        <w:rPr>
          <w:rFonts w:ascii="Arial" w:hAnsi="Arial" w:cs="Arial"/>
          <w:sz w:val="22"/>
        </w:rPr>
      </w:pPr>
    </w:p>
    <w:p w:rsidR="00BD4F0A" w:rsidRDefault="00163D19" w:rsidP="00BC75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BC750A">
        <w:rPr>
          <w:rFonts w:ascii="Arial" w:hAnsi="Arial" w:cs="Arial"/>
          <w:sz w:val="22"/>
        </w:rPr>
        <w:t xml:space="preserve">.- </w:t>
      </w:r>
      <w:r w:rsidR="004E7548">
        <w:rPr>
          <w:rFonts w:ascii="Arial" w:hAnsi="Arial" w:cs="Arial"/>
          <w:sz w:val="22"/>
        </w:rPr>
        <w:t xml:space="preserve"> Se genera la mesa de trabajo con los encargados de Estacionamientos </w:t>
      </w:r>
      <w:r w:rsidR="007919D6">
        <w:rPr>
          <w:rFonts w:ascii="Arial" w:hAnsi="Arial" w:cs="Arial"/>
          <w:sz w:val="22"/>
        </w:rPr>
        <w:t>Públicos</w:t>
      </w:r>
      <w:r w:rsidR="004E7548">
        <w:rPr>
          <w:rFonts w:ascii="Arial" w:hAnsi="Arial" w:cs="Arial"/>
          <w:sz w:val="22"/>
        </w:rPr>
        <w:t xml:space="preserve">, que fueron citados previamente a través de la </w:t>
      </w:r>
      <w:r w:rsidR="004E7548">
        <w:rPr>
          <w:rFonts w:ascii="Arial" w:hAnsi="Arial" w:cs="Arial"/>
          <w:lang w:val="pt-PT"/>
        </w:rPr>
        <w:t xml:space="preserve"> Direccion de Padron y Licencias</w:t>
      </w:r>
      <w:r w:rsidR="00D63F79">
        <w:rPr>
          <w:rFonts w:ascii="Arial" w:hAnsi="Arial" w:cs="Arial"/>
          <w:lang w:val="pt-PT"/>
        </w:rPr>
        <w:t xml:space="preserve"> del Municipio de San Juan de los lagos</w:t>
      </w:r>
      <w:r w:rsidR="00BD4F0A">
        <w:rPr>
          <w:rFonts w:ascii="Arial" w:hAnsi="Arial" w:cs="Arial"/>
          <w:lang w:val="pt-PT"/>
        </w:rPr>
        <w:t>,</w:t>
      </w:r>
      <w:r w:rsidR="004E63F2">
        <w:rPr>
          <w:rFonts w:ascii="Arial" w:hAnsi="Arial" w:cs="Arial"/>
          <w:sz w:val="22"/>
        </w:rPr>
        <w:t xml:space="preserve"> </w:t>
      </w:r>
      <w:r w:rsidR="00BD4F0A">
        <w:rPr>
          <w:rFonts w:ascii="Arial" w:hAnsi="Arial" w:cs="Arial"/>
          <w:sz w:val="22"/>
        </w:rPr>
        <w:t>en uso de la voz expone lo siguiente:</w:t>
      </w:r>
    </w:p>
    <w:p w:rsidR="004E7548" w:rsidRDefault="004E7548" w:rsidP="00BC75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plantea el orden de la discusión señalando 3 aspectos relevantes sobre la </w:t>
      </w:r>
      <w:r w:rsidR="007919D6">
        <w:rPr>
          <w:rFonts w:ascii="Arial" w:hAnsi="Arial" w:cs="Arial"/>
          <w:sz w:val="22"/>
        </w:rPr>
        <w:t>situación</w:t>
      </w:r>
      <w:r>
        <w:rPr>
          <w:rFonts w:ascii="Arial" w:hAnsi="Arial" w:cs="Arial"/>
          <w:sz w:val="22"/>
        </w:rPr>
        <w:t xml:space="preserve"> que guardan dichos establecimientos.</w:t>
      </w:r>
    </w:p>
    <w:p w:rsidR="004E7548" w:rsidRDefault="004E7548" w:rsidP="00BC750A">
      <w:pPr>
        <w:rPr>
          <w:rFonts w:ascii="Arial" w:hAnsi="Arial" w:cs="Arial"/>
          <w:sz w:val="22"/>
        </w:rPr>
      </w:pPr>
    </w:p>
    <w:p w:rsidR="00BD4F0A" w:rsidRPr="004E7548" w:rsidRDefault="007919D6" w:rsidP="004E7548">
      <w:pPr>
        <w:pStyle w:val="Prrafodelista"/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Determinar las</w:t>
      </w:r>
      <w:r w:rsidR="004E7548">
        <w:rPr>
          <w:rFonts w:ascii="Arial" w:hAnsi="Arial" w:cs="Arial"/>
          <w:sz w:val="22"/>
        </w:rPr>
        <w:t xml:space="preserve"> tarifas de cobro por servicio</w:t>
      </w:r>
      <w:r>
        <w:rPr>
          <w:rFonts w:ascii="Arial" w:hAnsi="Arial" w:cs="Arial"/>
          <w:sz w:val="22"/>
        </w:rPr>
        <w:t xml:space="preserve"> de estacionamiento, dando cumplimiento al marco jurídico municipal que determina las bases tal como lo es la ley de ingresos del municipio, y generando la comisión de tarifa, tal y como lo establece el Reglamento de Estacionamientos. Se comenta en lo general que se integrara por el pleno de los prestadores de servicio y se trabajara en una reunión para determinar las cuotas y condiciones. Se señala lo complejo que puede ser la determinación de tarifas, ya que se debe considerar detalles como zona de ubicación, seguro de daños y condiciones del establecimiento. Además se comenta sobre la cuota que se otorga a los agentes hoteleros, y esto incrementa considerablemente los costos del servicio. </w:t>
      </w:r>
    </w:p>
    <w:p w:rsidR="004E7548" w:rsidRDefault="007919D6" w:rsidP="004E7548">
      <w:pPr>
        <w:pStyle w:val="Prrafodelista"/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Infraestructura</w:t>
      </w:r>
      <w:r w:rsidR="004E754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mínima</w:t>
      </w:r>
      <w:r w:rsidR="004E7548">
        <w:rPr>
          <w:rFonts w:ascii="Arial" w:hAnsi="Arial" w:cs="Arial"/>
          <w:sz w:val="22"/>
        </w:rPr>
        <w:t xml:space="preserve"> indispensable sobre el establecimiento</w:t>
      </w:r>
      <w:r>
        <w:rPr>
          <w:rFonts w:ascii="Arial" w:hAnsi="Arial" w:cs="Arial"/>
          <w:sz w:val="22"/>
        </w:rPr>
        <w:t xml:space="preserve">, se crearon los compromisos de comenzar a realizar acciones que tengan como fin el mejoramiento del establecimiento dando cumplimiento a la Reglamentación </w:t>
      </w:r>
      <w:r>
        <w:rPr>
          <w:rFonts w:ascii="Arial" w:hAnsi="Arial" w:cs="Arial"/>
          <w:sz w:val="22"/>
        </w:rPr>
        <w:lastRenderedPageBreak/>
        <w:t>Municipal. Se comenta sobre algunos de los concesionarios la dificultad de dar cumplimiento a la totalidad de los requisitos, pero se tiene la voluntad de cumplir la mayoría de los mismos.</w:t>
      </w:r>
    </w:p>
    <w:p w:rsidR="00163D19" w:rsidRPr="004E7548" w:rsidRDefault="004E7548" w:rsidP="004E7548">
      <w:pPr>
        <w:pStyle w:val="Prrafodelista"/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Tramite de licencia o permiso correspondiente</w:t>
      </w:r>
      <w:r w:rsidR="007919D6">
        <w:rPr>
          <w:rFonts w:ascii="Arial" w:hAnsi="Arial" w:cs="Arial"/>
          <w:sz w:val="22"/>
        </w:rPr>
        <w:t>, se da el compromiso de acercarse a las oficinas correspondientes de padrón y licencias para comenzar la regularización de los establecimientos</w:t>
      </w:r>
      <w:r>
        <w:rPr>
          <w:rFonts w:ascii="Arial" w:hAnsi="Arial" w:cs="Arial"/>
          <w:sz w:val="22"/>
        </w:rPr>
        <w:t>.</w:t>
      </w:r>
      <w:r w:rsidR="007919D6">
        <w:rPr>
          <w:rFonts w:ascii="Arial" w:hAnsi="Arial" w:cs="Arial"/>
          <w:sz w:val="22"/>
        </w:rPr>
        <w:t xml:space="preserve"> Se da cuenta de la situación actual donde se tiene un aproximado de 52 establecimientos que dan el servicio, dejando claro que solo acudieron a la reunión un total de 23 y que del total se reporta que solo cuentas con la licencia un aproximado de 6 concesionarios.</w:t>
      </w:r>
    </w:p>
    <w:p w:rsidR="00163D19" w:rsidRPr="007919D6" w:rsidRDefault="00163D19" w:rsidP="00163D19">
      <w:pPr>
        <w:jc w:val="both"/>
        <w:rPr>
          <w:rFonts w:ascii="Arial" w:hAnsi="Arial" w:cs="Arial"/>
          <w:sz w:val="22"/>
        </w:rPr>
      </w:pPr>
    </w:p>
    <w:p w:rsidR="007400EF" w:rsidRPr="00163D19" w:rsidRDefault="00163D19" w:rsidP="005445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</w:t>
      </w:r>
      <w:r w:rsidR="007919D6">
        <w:rPr>
          <w:rFonts w:ascii="Arial" w:hAnsi="Arial" w:cs="Arial"/>
          <w:sz w:val="22"/>
        </w:rPr>
        <w:t>do.-  Informativo</w:t>
      </w:r>
      <w:r w:rsidR="00265566">
        <w:rPr>
          <w:rFonts w:ascii="Arial" w:hAnsi="Arial" w:cs="Arial"/>
          <w:sz w:val="22"/>
        </w:rPr>
        <w:t>. Se dará seguimiento al asunto en las siguientes reuniones de dicha comisión para generar nuevas mesas de trabajo.</w:t>
      </w:r>
    </w:p>
    <w:p w:rsidR="007400EF" w:rsidRPr="002E415C" w:rsidRDefault="007400EF" w:rsidP="00544591">
      <w:pPr>
        <w:jc w:val="both"/>
        <w:rPr>
          <w:rFonts w:ascii="Arial" w:hAnsi="Arial" w:cs="Arial"/>
          <w:sz w:val="22"/>
        </w:rPr>
      </w:pPr>
    </w:p>
    <w:p w:rsidR="00E161C3" w:rsidRDefault="002E415C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4E63F2">
        <w:rPr>
          <w:rFonts w:ascii="Arial" w:hAnsi="Arial" w:cs="Arial"/>
          <w:sz w:val="22"/>
        </w:rPr>
        <w:t>14 horas con 3</w:t>
      </w:r>
      <w:r w:rsidR="0027746A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265566">
        <w:rPr>
          <w:rFonts w:ascii="Arial" w:hAnsi="Arial" w:cs="Arial"/>
          <w:sz w:val="22"/>
        </w:rPr>
        <w:t>04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</w:t>
      </w:r>
      <w:r w:rsidR="00265566">
        <w:rPr>
          <w:rFonts w:ascii="Arial" w:hAnsi="Arial" w:cs="Arial"/>
          <w:sz w:val="22"/>
        </w:rPr>
        <w:t xml:space="preserve"> Marzo</w:t>
      </w:r>
      <w:bookmarkStart w:id="0" w:name="_GoBack"/>
      <w:bookmarkEnd w:id="0"/>
      <w:r w:rsidR="00D63F79">
        <w:rPr>
          <w:rFonts w:ascii="Arial" w:hAnsi="Arial" w:cs="Arial"/>
          <w:sz w:val="22"/>
        </w:rPr>
        <w:t xml:space="preserve"> 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3D5D43">
        <w:rPr>
          <w:rFonts w:ascii="Arial" w:hAnsi="Arial" w:cs="Arial"/>
          <w:sz w:val="22"/>
        </w:rPr>
        <w:t>13:3</w:t>
      </w:r>
      <w:r w:rsidR="007A6AC8">
        <w:rPr>
          <w:rFonts w:ascii="Arial" w:hAnsi="Arial" w:cs="Arial"/>
          <w:sz w:val="22"/>
        </w:rPr>
        <w:t>0</w:t>
      </w:r>
      <w:r w:rsidR="00B177A9">
        <w:rPr>
          <w:rFonts w:ascii="Arial" w:hAnsi="Arial" w:cs="Arial"/>
          <w:sz w:val="22"/>
        </w:rPr>
        <w:t xml:space="preserve"> horas, en las instala</w:t>
      </w:r>
      <w:r>
        <w:rPr>
          <w:rFonts w:ascii="Arial" w:hAnsi="Arial" w:cs="Arial"/>
          <w:sz w:val="22"/>
        </w:rPr>
        <w:t>ciones del salón de cabildo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</w:t>
      </w:r>
      <w:r>
        <w:rPr>
          <w:rFonts w:ascii="Arial" w:hAnsi="Arial" w:cs="Arial"/>
          <w:sz w:val="22"/>
        </w:rPr>
        <w:t xml:space="preserve">e la secretaria técnica de esta comisión 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EE6027" w:rsidRPr="008C769F" w:rsidRDefault="00EE6027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Pr="008C769F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Director de Seguridad Pública. LIC. HUGO ARMANDO MARTINEZ ZACARIAS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>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Representante del Sector Empresaria</w:t>
            </w:r>
            <w:r>
              <w:rPr>
                <w:rFonts w:ascii="Arial" w:hAnsi="Arial" w:cs="Arial"/>
                <w:lang w:val="pt-PT"/>
              </w:rPr>
              <w:t>l. MIGUEL ANGEL MARQUEZ DE ALBA.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F2182F">
        <w:trPr>
          <w:jc w:val="center"/>
        </w:trPr>
        <w:tc>
          <w:tcPr>
            <w:tcW w:w="4489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="006448BD">
              <w:rPr>
                <w:rFonts w:ascii="Arial" w:hAnsi="Arial" w:cs="Arial"/>
                <w:lang w:val="pt-PT"/>
              </w:rPr>
              <w:t>. LIC. VERULO MURO MURO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F2182F">
        <w:trPr>
          <w:jc w:val="center"/>
        </w:trPr>
        <w:tc>
          <w:tcPr>
            <w:tcW w:w="4489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F2182F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Juez M</w:t>
            </w:r>
            <w:r w:rsidR="002E415C">
              <w:rPr>
                <w:rFonts w:ascii="Arial" w:hAnsi="Arial" w:cs="Arial"/>
                <w:lang w:val="pt-PT"/>
              </w:rPr>
              <w:t>unicipal.</w:t>
            </w:r>
            <w:r w:rsidR="003D5D43">
              <w:rPr>
                <w:rFonts w:ascii="Arial" w:hAnsi="Arial" w:cs="Arial"/>
                <w:lang w:val="pt-PT"/>
              </w:rPr>
              <w:t xml:space="preserve"> GERARDO XOCHIPA VALENCIA.</w:t>
            </w:r>
          </w:p>
        </w:tc>
        <w:tc>
          <w:tcPr>
            <w:tcW w:w="4490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="0027746A">
              <w:rPr>
                <w:rFonts w:ascii="Arial" w:hAnsi="Arial" w:cs="Arial"/>
                <w:lang w:val="pt-PT"/>
              </w:rPr>
              <w:t>Delegada. YAMILE</w:t>
            </w:r>
            <w:r w:rsidR="004E63F2">
              <w:rPr>
                <w:rFonts w:ascii="Arial" w:hAnsi="Arial" w:cs="Arial"/>
                <w:lang w:val="pt-PT"/>
              </w:rPr>
              <w:t xml:space="preserve"> LOPEZ </w:t>
            </w:r>
            <w:r w:rsidRPr="00BF6F58">
              <w:rPr>
                <w:rFonts w:ascii="Arial" w:hAnsi="Arial" w:cs="Arial"/>
                <w:lang w:val="pt-PT"/>
              </w:rPr>
              <w:t>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6448BD">
        <w:rPr>
          <w:rFonts w:ascii="Arial" w:hAnsi="Arial" w:cs="Arial"/>
        </w:rPr>
        <w:t xml:space="preserve">      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6448BD">
        <w:rPr>
          <w:rFonts w:ascii="Arial" w:hAnsi="Arial" w:cs="Arial"/>
        </w:rPr>
        <w:t xml:space="preserve">       </w:t>
      </w:r>
    </w:p>
    <w:p w:rsidR="00D80C8A" w:rsidRPr="008C769F" w:rsidRDefault="00935658" w:rsidP="004A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C.</w:t>
      </w:r>
      <w:r w:rsidR="006448BD">
        <w:rPr>
          <w:rFonts w:ascii="Arial" w:hAnsi="Arial" w:cs="Arial"/>
        </w:rPr>
        <w:t xml:space="preserve">   </w:t>
      </w:r>
      <w:r w:rsidR="002E415C">
        <w:rPr>
          <w:rFonts w:ascii="Arial" w:hAnsi="Arial" w:cs="Arial"/>
        </w:rPr>
        <w:t>Fátima</w:t>
      </w:r>
      <w:r>
        <w:rPr>
          <w:rFonts w:ascii="Arial" w:hAnsi="Arial" w:cs="Arial"/>
        </w:rPr>
        <w:t xml:space="preserve"> del Rosario </w:t>
      </w:r>
      <w:r w:rsidR="002E415C">
        <w:rPr>
          <w:rFonts w:ascii="Arial" w:hAnsi="Arial" w:cs="Arial"/>
        </w:rPr>
        <w:t>Gutiérrez</w:t>
      </w:r>
      <w:r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Martínez</w:t>
      </w:r>
    </w:p>
    <w:sectPr w:rsidR="00D80C8A" w:rsidRPr="008C769F" w:rsidSect="00711E50">
      <w:headerReference w:type="even" r:id="rId9"/>
      <w:headerReference w:type="default" r:id="rId10"/>
      <w:footerReference w:type="even" r:id="rId11"/>
      <w:footerReference w:type="default" r:id="rId12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E0" w:rsidRDefault="00AD11E0" w:rsidP="00E161C3">
      <w:r>
        <w:separator/>
      </w:r>
    </w:p>
  </w:endnote>
  <w:endnote w:type="continuationSeparator" w:id="0">
    <w:p w:rsidR="00AD11E0" w:rsidRDefault="00AD11E0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jc w:val="right"/>
    </w:pPr>
  </w:p>
  <w:p w:rsidR="000F3A94" w:rsidRDefault="000F3A94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6556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65566">
      <w:rPr>
        <w:b/>
        <w:bCs/>
        <w:noProof/>
      </w:rPr>
      <w:t>5</w:t>
    </w:r>
    <w:r>
      <w:rPr>
        <w:b/>
        <w:bCs/>
      </w:rPr>
      <w:fldChar w:fldCharType="end"/>
    </w:r>
  </w:p>
  <w:p w:rsidR="000F3A94" w:rsidRDefault="004E7548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5 de  Febrero</w:t>
    </w:r>
    <w:r w:rsidR="00D63F79">
      <w:t xml:space="preserve"> 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E0" w:rsidRDefault="00AD11E0" w:rsidP="00E161C3">
      <w:r>
        <w:separator/>
      </w:r>
    </w:p>
  </w:footnote>
  <w:footnote w:type="continuationSeparator" w:id="0">
    <w:p w:rsidR="00AD11E0" w:rsidRDefault="00AD11E0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Ttulo1"/>
      <w:rPr>
        <w:b/>
      </w:rPr>
    </w:pPr>
  </w:p>
  <w:p w:rsidR="000F3A94" w:rsidRDefault="000F3A94">
    <w:pPr>
      <w:pStyle w:val="Ttulo1"/>
      <w:rPr>
        <w:b/>
      </w:rPr>
    </w:pPr>
    <w:r>
      <w:rPr>
        <w:b/>
      </w:rPr>
      <w:t xml:space="preserve">          </w:t>
    </w:r>
  </w:p>
  <w:p w:rsidR="000F3A94" w:rsidRDefault="001F7E84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2º </w:t>
    </w:r>
    <w:r w:rsidR="000F3A94">
      <w:t xml:space="preserve"> SESION ORDINARIA DE COMISION TECNICA DE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7D"/>
    <w:multiLevelType w:val="hybridMultilevel"/>
    <w:tmpl w:val="B074F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8E5"/>
    <w:multiLevelType w:val="hybridMultilevel"/>
    <w:tmpl w:val="7B34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6D15"/>
    <w:multiLevelType w:val="hybridMultilevel"/>
    <w:tmpl w:val="92C64C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18E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90D6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0">
    <w:nsid w:val="238F6958"/>
    <w:multiLevelType w:val="hybridMultilevel"/>
    <w:tmpl w:val="50B8FE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E17A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C1658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D110C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5330A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C32BE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750E0"/>
    <w:multiLevelType w:val="hybridMultilevel"/>
    <w:tmpl w:val="A0127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74EFE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700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536F2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7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F3CB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9449C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BB1C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7"/>
  </w:num>
  <w:num w:numId="3">
    <w:abstractNumId w:val="11"/>
  </w:num>
  <w:num w:numId="4">
    <w:abstractNumId w:val="8"/>
  </w:num>
  <w:num w:numId="5">
    <w:abstractNumId w:val="30"/>
  </w:num>
  <w:num w:numId="6">
    <w:abstractNumId w:val="6"/>
  </w:num>
  <w:num w:numId="7">
    <w:abstractNumId w:val="26"/>
  </w:num>
  <w:num w:numId="8">
    <w:abstractNumId w:val="3"/>
  </w:num>
  <w:num w:numId="9">
    <w:abstractNumId w:val="18"/>
  </w:num>
  <w:num w:numId="10">
    <w:abstractNumId w:val="17"/>
  </w:num>
  <w:num w:numId="11">
    <w:abstractNumId w:val="22"/>
  </w:num>
  <w:num w:numId="12">
    <w:abstractNumId w:val="2"/>
  </w:num>
  <w:num w:numId="13">
    <w:abstractNumId w:val="20"/>
  </w:num>
  <w:num w:numId="14">
    <w:abstractNumId w:val="0"/>
  </w:num>
  <w:num w:numId="15">
    <w:abstractNumId w:val="31"/>
  </w:num>
  <w:num w:numId="16">
    <w:abstractNumId w:val="28"/>
  </w:num>
  <w:num w:numId="17">
    <w:abstractNumId w:val="9"/>
  </w:num>
  <w:num w:numId="18">
    <w:abstractNumId w:val="12"/>
  </w:num>
  <w:num w:numId="19">
    <w:abstractNumId w:val="23"/>
  </w:num>
  <w:num w:numId="20">
    <w:abstractNumId w:val="29"/>
  </w:num>
  <w:num w:numId="21">
    <w:abstractNumId w:val="14"/>
  </w:num>
  <w:num w:numId="22">
    <w:abstractNumId w:val="16"/>
  </w:num>
  <w:num w:numId="23">
    <w:abstractNumId w:val="15"/>
  </w:num>
  <w:num w:numId="24">
    <w:abstractNumId w:val="24"/>
  </w:num>
  <w:num w:numId="25">
    <w:abstractNumId w:val="32"/>
  </w:num>
  <w:num w:numId="26">
    <w:abstractNumId w:val="25"/>
  </w:num>
  <w:num w:numId="27">
    <w:abstractNumId w:val="7"/>
  </w:num>
  <w:num w:numId="28">
    <w:abstractNumId w:val="5"/>
  </w:num>
  <w:num w:numId="29">
    <w:abstractNumId w:val="1"/>
  </w:num>
  <w:num w:numId="30">
    <w:abstractNumId w:val="10"/>
  </w:num>
  <w:num w:numId="31">
    <w:abstractNumId w:val="13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36D98"/>
    <w:rsid w:val="00051F81"/>
    <w:rsid w:val="0005552B"/>
    <w:rsid w:val="00062961"/>
    <w:rsid w:val="000727B1"/>
    <w:rsid w:val="00074483"/>
    <w:rsid w:val="000764C8"/>
    <w:rsid w:val="000847FF"/>
    <w:rsid w:val="00087D0A"/>
    <w:rsid w:val="000910F1"/>
    <w:rsid w:val="00092DC9"/>
    <w:rsid w:val="000A549F"/>
    <w:rsid w:val="000B25C0"/>
    <w:rsid w:val="000C1FE7"/>
    <w:rsid w:val="000C345F"/>
    <w:rsid w:val="000D6AB4"/>
    <w:rsid w:val="000E25AA"/>
    <w:rsid w:val="000F3A94"/>
    <w:rsid w:val="00131F44"/>
    <w:rsid w:val="00134A05"/>
    <w:rsid w:val="00161955"/>
    <w:rsid w:val="00163D19"/>
    <w:rsid w:val="001647B5"/>
    <w:rsid w:val="001763EA"/>
    <w:rsid w:val="00186B91"/>
    <w:rsid w:val="0019044F"/>
    <w:rsid w:val="00191FF0"/>
    <w:rsid w:val="001A6262"/>
    <w:rsid w:val="001B3F5A"/>
    <w:rsid w:val="001B5FD0"/>
    <w:rsid w:val="001F7E84"/>
    <w:rsid w:val="0020078D"/>
    <w:rsid w:val="00217B70"/>
    <w:rsid w:val="002433FC"/>
    <w:rsid w:val="00244735"/>
    <w:rsid w:val="002546C9"/>
    <w:rsid w:val="00263000"/>
    <w:rsid w:val="00265566"/>
    <w:rsid w:val="0027746A"/>
    <w:rsid w:val="00286173"/>
    <w:rsid w:val="00292FB9"/>
    <w:rsid w:val="00296E07"/>
    <w:rsid w:val="002972CB"/>
    <w:rsid w:val="00297578"/>
    <w:rsid w:val="002A1824"/>
    <w:rsid w:val="002B69AF"/>
    <w:rsid w:val="002D586D"/>
    <w:rsid w:val="002E415C"/>
    <w:rsid w:val="002F490B"/>
    <w:rsid w:val="003000BD"/>
    <w:rsid w:val="00300F35"/>
    <w:rsid w:val="003064D8"/>
    <w:rsid w:val="00336097"/>
    <w:rsid w:val="003609AC"/>
    <w:rsid w:val="003667F8"/>
    <w:rsid w:val="003A03AE"/>
    <w:rsid w:val="003D0F8D"/>
    <w:rsid w:val="003D1C13"/>
    <w:rsid w:val="003D2941"/>
    <w:rsid w:val="003D5D43"/>
    <w:rsid w:val="003E7B66"/>
    <w:rsid w:val="0041669D"/>
    <w:rsid w:val="00417402"/>
    <w:rsid w:val="004266F2"/>
    <w:rsid w:val="004355E2"/>
    <w:rsid w:val="004668ED"/>
    <w:rsid w:val="00476044"/>
    <w:rsid w:val="004963F9"/>
    <w:rsid w:val="004A4B15"/>
    <w:rsid w:val="004C2C99"/>
    <w:rsid w:val="004E0F63"/>
    <w:rsid w:val="004E63F2"/>
    <w:rsid w:val="004E7081"/>
    <w:rsid w:val="004E7548"/>
    <w:rsid w:val="00500EE7"/>
    <w:rsid w:val="0051365D"/>
    <w:rsid w:val="005174A0"/>
    <w:rsid w:val="00523728"/>
    <w:rsid w:val="00534FA3"/>
    <w:rsid w:val="005431A1"/>
    <w:rsid w:val="00544591"/>
    <w:rsid w:val="00545EDA"/>
    <w:rsid w:val="00547A68"/>
    <w:rsid w:val="00573106"/>
    <w:rsid w:val="005765E0"/>
    <w:rsid w:val="005A401E"/>
    <w:rsid w:val="005A452E"/>
    <w:rsid w:val="005B3A6F"/>
    <w:rsid w:val="005B7F35"/>
    <w:rsid w:val="005D5A4B"/>
    <w:rsid w:val="006120EA"/>
    <w:rsid w:val="00621AF9"/>
    <w:rsid w:val="006448BD"/>
    <w:rsid w:val="006503B5"/>
    <w:rsid w:val="006571FF"/>
    <w:rsid w:val="00677DE1"/>
    <w:rsid w:val="00684B37"/>
    <w:rsid w:val="00696768"/>
    <w:rsid w:val="006A6EEE"/>
    <w:rsid w:val="006C2D64"/>
    <w:rsid w:val="006E2284"/>
    <w:rsid w:val="00704A67"/>
    <w:rsid w:val="00711E50"/>
    <w:rsid w:val="00734F67"/>
    <w:rsid w:val="007400EF"/>
    <w:rsid w:val="0075566B"/>
    <w:rsid w:val="007806A7"/>
    <w:rsid w:val="00786BB6"/>
    <w:rsid w:val="007919D6"/>
    <w:rsid w:val="00792C48"/>
    <w:rsid w:val="00797F31"/>
    <w:rsid w:val="007A6AC8"/>
    <w:rsid w:val="007B73A7"/>
    <w:rsid w:val="007C3631"/>
    <w:rsid w:val="007F300B"/>
    <w:rsid w:val="00802E4D"/>
    <w:rsid w:val="00811E81"/>
    <w:rsid w:val="00824804"/>
    <w:rsid w:val="00850C4C"/>
    <w:rsid w:val="00853B6B"/>
    <w:rsid w:val="00871ED7"/>
    <w:rsid w:val="00890E25"/>
    <w:rsid w:val="008B5BFE"/>
    <w:rsid w:val="008C769F"/>
    <w:rsid w:val="008D24FF"/>
    <w:rsid w:val="008D6F71"/>
    <w:rsid w:val="008E2145"/>
    <w:rsid w:val="008E779E"/>
    <w:rsid w:val="008F054F"/>
    <w:rsid w:val="008F5746"/>
    <w:rsid w:val="009213D9"/>
    <w:rsid w:val="00935658"/>
    <w:rsid w:val="009358BF"/>
    <w:rsid w:val="00936B8C"/>
    <w:rsid w:val="009557DF"/>
    <w:rsid w:val="00962DB0"/>
    <w:rsid w:val="00991F4A"/>
    <w:rsid w:val="009A23F7"/>
    <w:rsid w:val="009B3776"/>
    <w:rsid w:val="009E2CDE"/>
    <w:rsid w:val="009F0557"/>
    <w:rsid w:val="009F4418"/>
    <w:rsid w:val="009F4F84"/>
    <w:rsid w:val="00A02114"/>
    <w:rsid w:val="00A11860"/>
    <w:rsid w:val="00A131A5"/>
    <w:rsid w:val="00A1375B"/>
    <w:rsid w:val="00A6365F"/>
    <w:rsid w:val="00A70882"/>
    <w:rsid w:val="00A71B38"/>
    <w:rsid w:val="00A826E1"/>
    <w:rsid w:val="00A82F11"/>
    <w:rsid w:val="00A93F63"/>
    <w:rsid w:val="00A93F68"/>
    <w:rsid w:val="00AA01F0"/>
    <w:rsid w:val="00AA63F3"/>
    <w:rsid w:val="00AC45C4"/>
    <w:rsid w:val="00AC52B1"/>
    <w:rsid w:val="00AD11E0"/>
    <w:rsid w:val="00AD7789"/>
    <w:rsid w:val="00B122CB"/>
    <w:rsid w:val="00B16E85"/>
    <w:rsid w:val="00B177A9"/>
    <w:rsid w:val="00B17DE0"/>
    <w:rsid w:val="00B21A47"/>
    <w:rsid w:val="00B30E78"/>
    <w:rsid w:val="00B66727"/>
    <w:rsid w:val="00B77C2D"/>
    <w:rsid w:val="00BA5A3C"/>
    <w:rsid w:val="00BC6C74"/>
    <w:rsid w:val="00BC750A"/>
    <w:rsid w:val="00BD4F0A"/>
    <w:rsid w:val="00BE2D30"/>
    <w:rsid w:val="00BF0BA5"/>
    <w:rsid w:val="00BF1575"/>
    <w:rsid w:val="00BF6F58"/>
    <w:rsid w:val="00C20023"/>
    <w:rsid w:val="00C26A9E"/>
    <w:rsid w:val="00C34116"/>
    <w:rsid w:val="00C870C3"/>
    <w:rsid w:val="00CA379F"/>
    <w:rsid w:val="00CA54CD"/>
    <w:rsid w:val="00CA7A43"/>
    <w:rsid w:val="00CC7EF4"/>
    <w:rsid w:val="00CD6E7C"/>
    <w:rsid w:val="00CF0AD7"/>
    <w:rsid w:val="00CF14AD"/>
    <w:rsid w:val="00D03E5B"/>
    <w:rsid w:val="00D253F2"/>
    <w:rsid w:val="00D32882"/>
    <w:rsid w:val="00D34674"/>
    <w:rsid w:val="00D45C2D"/>
    <w:rsid w:val="00D50124"/>
    <w:rsid w:val="00D628CD"/>
    <w:rsid w:val="00D63F79"/>
    <w:rsid w:val="00D75039"/>
    <w:rsid w:val="00D80C8A"/>
    <w:rsid w:val="00DA5A4E"/>
    <w:rsid w:val="00DB34DC"/>
    <w:rsid w:val="00DC3D0F"/>
    <w:rsid w:val="00DC7028"/>
    <w:rsid w:val="00DD3104"/>
    <w:rsid w:val="00DD792A"/>
    <w:rsid w:val="00DE49C2"/>
    <w:rsid w:val="00DF6D9E"/>
    <w:rsid w:val="00DF7B59"/>
    <w:rsid w:val="00E00B64"/>
    <w:rsid w:val="00E05D20"/>
    <w:rsid w:val="00E161C3"/>
    <w:rsid w:val="00E16EFF"/>
    <w:rsid w:val="00E211EC"/>
    <w:rsid w:val="00E35D3E"/>
    <w:rsid w:val="00E740FF"/>
    <w:rsid w:val="00E8675D"/>
    <w:rsid w:val="00E92EB8"/>
    <w:rsid w:val="00ED5C19"/>
    <w:rsid w:val="00EE1B4F"/>
    <w:rsid w:val="00EE6027"/>
    <w:rsid w:val="00F007FB"/>
    <w:rsid w:val="00F10075"/>
    <w:rsid w:val="00F2182F"/>
    <w:rsid w:val="00F21F70"/>
    <w:rsid w:val="00F255C4"/>
    <w:rsid w:val="00F2585A"/>
    <w:rsid w:val="00F2711C"/>
    <w:rsid w:val="00F321C1"/>
    <w:rsid w:val="00F35625"/>
    <w:rsid w:val="00F534FB"/>
    <w:rsid w:val="00F559DC"/>
    <w:rsid w:val="00F72261"/>
    <w:rsid w:val="00F739F2"/>
    <w:rsid w:val="00F7743E"/>
    <w:rsid w:val="00F8728E"/>
    <w:rsid w:val="00F90720"/>
    <w:rsid w:val="00F91C30"/>
    <w:rsid w:val="00FA0490"/>
    <w:rsid w:val="00FA4934"/>
    <w:rsid w:val="00FB27B5"/>
    <w:rsid w:val="00FB66A9"/>
    <w:rsid w:val="00FC0DA1"/>
    <w:rsid w:val="00FE0F41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75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75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E7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75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75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E7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C45C-EA8C-4FFD-B36A-914D18EF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6886</TotalTime>
  <Pages>5</Pages>
  <Words>1616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74</cp:revision>
  <cp:lastPrinted>2018-10-24T22:13:00Z</cp:lastPrinted>
  <dcterms:created xsi:type="dcterms:W3CDTF">2019-01-03T19:33:00Z</dcterms:created>
  <dcterms:modified xsi:type="dcterms:W3CDTF">2020-03-02T13:41:00Z</dcterms:modified>
</cp:coreProperties>
</file>