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153F5E">
        <w:rPr>
          <w:rFonts w:ascii="Arial" w:hAnsi="Arial" w:cs="Arial"/>
          <w:sz w:val="22"/>
        </w:rPr>
        <w:t xml:space="preserve"> horas con 31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7F6C98">
        <w:rPr>
          <w:rFonts w:ascii="Arial" w:hAnsi="Arial" w:cs="Arial"/>
          <w:sz w:val="22"/>
        </w:rPr>
        <w:t>10 de Febrero</w:t>
      </w:r>
      <w:r w:rsidR="00114C4F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8B3A4D">
        <w:rPr>
          <w:rFonts w:ascii="Arial" w:hAnsi="Arial" w:cs="Arial"/>
          <w:sz w:val="22"/>
        </w:rPr>
        <w:t>veintiuno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</w:t>
            </w:r>
            <w:proofErr w:type="spellStart"/>
            <w:r w:rsidR="00C8438E">
              <w:rPr>
                <w:rFonts w:ascii="Arial" w:hAnsi="Arial" w:cs="Arial"/>
                <w:sz w:val="22"/>
              </w:rPr>
              <w:t>MURO</w:t>
            </w:r>
            <w:proofErr w:type="spellEnd"/>
            <w:r w:rsidR="00C8438E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  <w:r w:rsidR="00C01F22">
              <w:rPr>
                <w:rFonts w:ascii="Arial" w:hAnsi="Arial" w:cs="Arial"/>
                <w:lang w:val="pt-PT"/>
              </w:rPr>
              <w:t>C.</w:t>
            </w:r>
            <w:r w:rsidR="00C01F22">
              <w:rPr>
                <w:rFonts w:ascii="Arial" w:hAnsi="Arial" w:cs="Arial"/>
                <w:sz w:val="22"/>
              </w:rPr>
              <w:t xml:space="preserve"> MIGUEL ANGEL MARQUEZ DE ALBA</w:t>
            </w:r>
            <w:r w:rsidR="002A7CB7">
              <w:rPr>
                <w:rFonts w:ascii="Arial" w:hAnsi="Arial" w:cs="Arial"/>
                <w:lang w:val="pt-PT"/>
              </w:rPr>
              <w:t>.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7F6C98" w:rsidRPr="007F6C98" w:rsidRDefault="00E31C42" w:rsidP="007F6C9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  <w:r w:rsidR="007F6C9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352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64247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733D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01F22" w:rsidRDefault="00C01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F6C98" w:rsidRDefault="007F6C98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7F6C98" w:rsidTr="007F6C98">
        <w:tc>
          <w:tcPr>
            <w:tcW w:w="6629" w:type="dxa"/>
          </w:tcPr>
          <w:p w:rsidR="007F6C98" w:rsidRDefault="007F6C98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Comité de Participación Social de San Juan de los L</w:t>
            </w:r>
            <w:r w:rsidR="00DE5DD8">
              <w:rPr>
                <w:rFonts w:ascii="Arial" w:hAnsi="Arial" w:cs="Arial"/>
              </w:rPr>
              <w:t>agos  PENDIENTE</w:t>
            </w:r>
            <w:r w:rsidR="00564247">
              <w:rPr>
                <w:rFonts w:ascii="Arial" w:hAnsi="Arial" w:cs="Arial"/>
              </w:rPr>
              <w:t>, con derecho a voz.</w:t>
            </w:r>
          </w:p>
        </w:tc>
        <w:tc>
          <w:tcPr>
            <w:tcW w:w="2350" w:type="dxa"/>
          </w:tcPr>
          <w:p w:rsidR="007F6C98" w:rsidRDefault="00DE5DD8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</w:tr>
    </w:tbl>
    <w:p w:rsidR="007F6C98" w:rsidRDefault="007F6C98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7F6C98">
        <w:rPr>
          <w:rFonts w:ascii="Arial" w:hAnsi="Arial" w:cs="Arial"/>
          <w:sz w:val="22"/>
        </w:rPr>
        <w:t xml:space="preserve">encia y declaratoria de quorum. 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7F6C98" w:rsidRDefault="007F6C98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564247">
        <w:rPr>
          <w:rFonts w:ascii="Arial" w:hAnsi="Arial" w:cs="Arial"/>
          <w:sz w:val="22"/>
        </w:rPr>
        <w:t>9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733DB">
        <w:rPr>
          <w:rFonts w:ascii="Arial" w:hAnsi="Arial" w:cs="Arial"/>
          <w:sz w:val="22"/>
        </w:rPr>
        <w:t xml:space="preserve">esponde a una mayoría 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lastRenderedPageBreak/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543574" w:rsidRDefault="00564247" w:rsidP="007F6C9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el</w:t>
      </w:r>
      <w:r w:rsidR="00153F5E">
        <w:rPr>
          <w:rFonts w:ascii="Arial" w:hAnsi="Arial" w:cs="Arial"/>
          <w:sz w:val="22"/>
          <w:szCs w:val="22"/>
        </w:rPr>
        <w:t xml:space="preserve"> PAC 2021. PROGRAMA ANUAL DE COMPRAS 2021</w:t>
      </w:r>
      <w:r w:rsidR="00543574">
        <w:rPr>
          <w:rFonts w:ascii="Arial" w:hAnsi="Arial" w:cs="Arial"/>
          <w:sz w:val="22"/>
          <w:szCs w:val="22"/>
        </w:rPr>
        <w:t xml:space="preserve">, </w:t>
      </w:r>
    </w:p>
    <w:p w:rsidR="00564247" w:rsidRDefault="00564247" w:rsidP="00CB36C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634"/>
        <w:gridCol w:w="430"/>
        <w:gridCol w:w="646"/>
        <w:gridCol w:w="409"/>
        <w:gridCol w:w="614"/>
        <w:gridCol w:w="458"/>
        <w:gridCol w:w="614"/>
        <w:gridCol w:w="489"/>
        <w:gridCol w:w="485"/>
        <w:gridCol w:w="651"/>
        <w:gridCol w:w="644"/>
        <w:gridCol w:w="458"/>
        <w:gridCol w:w="430"/>
        <w:gridCol w:w="604"/>
      </w:tblGrid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808080"/>
              <w:bottom w:val="nil"/>
              <w:right w:val="nil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COG/FF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DESCRIPCIÓN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1.  NO ETIQUETADO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2.  ETIQUETADO 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TOTAL ANUAL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DDEBF7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2F2F2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11.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RECURSOS FISCALES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12.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FINANCIAMIENTOS INTERNOS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14.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INGRESOS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PROPIOS</w:t>
            </w:r>
          </w:p>
        </w:tc>
        <w:tc>
          <w:tcPr>
            <w:tcW w:w="0" w:type="auto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15.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RECURSOS FEDERALES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16.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RECURSOS ESTATALES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1.7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OTROS RECURSOS DE LIBRE DISPOSICIÓN 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25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FONDO DE APORTACIONES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25.3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CONVENIOS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27.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OROS RECURSOS DE TRANSFERENCIAS FEDERALES ETIQUETADAS </w:t>
            </w:r>
          </w:p>
        </w:tc>
      </w:tr>
      <w:tr w:rsidR="00714366" w:rsidRPr="00714366" w:rsidTr="00714366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single" w:sz="4" w:space="0" w:color="F2F2F2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15.1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PARTICIPACIONES FEDERALES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15.2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16.1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PARTICIPACIONES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16.2 CONVENIOS+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>25.1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INFRAESTRUCTURA SOCIAL MUNICIPAL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br/>
              <w:t xml:space="preserve">25.2 FORTALECIMIENTO MUNICIPAL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MATERIALES Y SUMINISTROS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18,225,636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9,555,045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2,058,235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258,986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724,949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13,347,155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44,170,006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MATERIALES DE ADMINISTRACIÓN, EMISIÓN DE DOCUMENTOS Y ARTÍCULOS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1,522,460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724,949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50,825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2,298,234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Materiales, útiles y equipos menores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190,029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170,050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 y útiles de impresión y reproducción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388,948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768,948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 estadístico y geográfico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Materiales, útiles y equipos menores de tecnologías de la 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474,402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 impreso e información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131,322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 y útiles de enseñanza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 para el registro e identificación de bienes y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183,483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bookmarkStart w:id="0" w:name="_GoBack"/>
            <w:bookmarkEnd w:id="0"/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183,483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ALIMENTOS Y UTENSILIOS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342,376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1,992,189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2,334,565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alimenticios para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FF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FF0000"/>
                <w:sz w:val="12"/>
                <w:szCs w:val="12"/>
                <w:lang w:val="es-MX" w:eastAsia="es-MX"/>
              </w:rPr>
              <w:t>317,682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1,985,000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2,302,682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alimenticios para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Utensilios para el servicio de alimentación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MATERIAS PRIMAS Y MATERIALES DE PRODUCCIÓN Y COMERCIALIZACIÓN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alimenticios, agropecuarios y forestales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Insumos textiles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de papel, cartón e impresos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Combustibles, lubricantes, aditivos, carbón y sus derivados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químicos, farmacéuticos y de laboratorio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Productos metálicos y a base de minerales no metálicos adquiridos como materia </w:t>
            </w: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de cuero, piel, plástico y hule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Mercancías adquiridas para su comercialización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productos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MATERIALES Y ARTÍCULOS DE CONSTRUCCIÓN Y DE REPARACIÓN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1,100,563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516,305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334,537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1,951,405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minerales no metálicos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46,544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46,544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Cemento y productos de 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557,574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557,574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Cal, yeso y productos de yeso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Madera y productos de madera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Vidrio y productos de vidrio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 eléctrico y electrónico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494,962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516,305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1,345,804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Artículos metálicos para la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 complementarios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materiales y artículos de construcción y reparación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PRODUCTOS QUÍMICOS, FARMACÉUTICOS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4,556,098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4,463,740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775,735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5,054,707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14,850,280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químicos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3,066,300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2,417,656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5,483,956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Fertilizantes, pesticidas y otros agroquímicos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Medicinas y productos farmacéuticos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1,404,417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1,096,084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775,735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C4BF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           - 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2,280,000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5,556,236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Materiales, accesorios y suministros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2,750,368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3,700,368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Materiales, accesorios y suministros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Fibras sintéticas, hules plásticos y derivados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productos químicos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40,233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40,233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COMBUSTIBLES, LUBRICANTES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8,380,800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4,575,000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1,282,500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258,986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3,397,434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17,894,720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Combustibles, lubricantes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8,380,800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4,575,000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1,282,500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258,986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3,397,434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17,894,720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Carbón y sus derivados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VESTUARIO, BLANCOS, PRENDAS DE PROTECCIÓN Y ARTÍCULOS DEPORTIVOS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216,482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123,381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339,863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Vestuario y uniformes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87,082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191,582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Prendas de seguridad y protección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18,881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18,881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Artículos deportivos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129,400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129,400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Productos textiles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Blancos y otros productos textiles, excepto prendas de vestir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MATERIALES Y SUMINISTROS PARA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154,752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560,063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714,815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Sustancias y materiales explosivos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Materiales de seguridad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Prendas de protección para seguridad pública y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560,063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655,063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HERRAMIENTAS, REFACCIONES Y ACCESORIOS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1,952,105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1,834,019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3,786,124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Herramientas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113,531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208,531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de edificios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43,559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43,559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de equipo de cómputo y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de 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19,734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589,734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FF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FF0000"/>
                <w:sz w:val="12"/>
                <w:szCs w:val="12"/>
                <w:lang w:val="es-MX" w:eastAsia="es-MX"/>
              </w:rPr>
              <w:t xml:space="preserve">Refacciones y accesorios menores de equipo de </w:t>
            </w:r>
            <w:r w:rsidRPr="00714366">
              <w:rPr>
                <w:rFonts w:ascii="Calibri" w:hAnsi="Calibri"/>
                <w:color w:val="FF0000"/>
                <w:sz w:val="12"/>
                <w:szCs w:val="12"/>
                <w:lang w:val="es-MX" w:eastAsia="es-MX"/>
              </w:rPr>
              <w:lastRenderedPageBreak/>
              <w:t>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1,150,488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1,150,488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FF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FF0000"/>
                <w:sz w:val="12"/>
                <w:szCs w:val="12"/>
                <w:lang w:val="es-MX" w:eastAsia="es-MX"/>
              </w:rPr>
              <w:t>Refacciones y accesorios menores de maquinaria y otros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1,770,223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1,770,223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Refacciones y accesorios menores otros bienes 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29,254,010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19,915,399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5,978,533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379,489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130,002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7,117,303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62,774,736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948,457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16,154,293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19,396,350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5,978,533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41,613,701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Energía eléctrica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15,569,840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19,396,350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40,890,715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Gas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48,533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48,533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Telefonía tradicional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Telefonía celular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70,478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70,478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telecomunicaciones y satélites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acceso de Internet, redes y procesamiento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postales y telegráficos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13,975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23,975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integrales y otros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DE ARRENDAMIENTO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1,817,488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1,817,488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terrenos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edificios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mobiliario y equipo de administración,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maquinaria, otros equipos y herramientas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1,752,488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1,752,488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de activos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Arrendamiento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arrendamientos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PROFESIONALES, CIENTÍFICOS, TÉCNICOS Y OTROS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968,700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968,700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legales, de contabilidad, auditoría y relacionados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diseño, arquitectura, ingeniería y actividades relacionadas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668,700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668,700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consultoría administrativa, procesos, técnica y en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investigación científica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apoyo administrativo, traducción, fotocopiado e impresión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protección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vigilancia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profesionales, científicos y técnicos integrales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FINANCIEROS, BANCARIOS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468,804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105,477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250,587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824,868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financieros y bancarios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cobranza, investigación crediticia y similar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recaudación, traslado y custodia de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Seguros de responsabilidad patrimonial y fianzas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105,477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195,477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Seguro de bienes patrimoniales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354,804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594,804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Almacenaje, envase y embalaje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Fletes y maniobras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Comisiones por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financieros, bancarios y comerciales integrales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DE INSTALACIÓN, REPARACIÓN, MANTENIMIENTO Y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3,660,000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519,049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379,489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6,515,522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11,074,060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Conservación y mantenimiento menor de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3,660,000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519,049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379,489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5,049,000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9,607,538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Instalación, reparación y mantenimiento de equipo de cómputo y tecnología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Instalación, reparación y mantenimiento de 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Reparación y mantenimiento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1,466,522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1,466,522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Reparación y mantenimiento de equipo de 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Instalación, reparación y mantenimiento de maquinaria, otros equipos y herramienta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limpieza y manejo de desechos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jardinería y fumigación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DE COMUNICACIÓN SOCIAL Y 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902,690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902,690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902,690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902,690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Difusión por radio,  televisión y otros medios de mensajes comerciales para promover la venta de bienes o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creatividad, preproducción y producción de publicidad, excepto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revelado de  fotografías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de la industria fílmica, del sonido y del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 de creación y difusión de contenido exclusivamente a  través de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servicios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DE TRASLADO Y VIÁTICOS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495,750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196,500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692,250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Pasajes aéreos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72,985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87,985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Pasajes terrestres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34,184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35,684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Pasajes marítimos, lacustres y fluviales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Autotransporte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Viáticos en el país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323,103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503,103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Viáticos en el extranjero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Gastos de instalación y traslado de menaje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integrales de traslado y viáticos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servicios de traslado y hospedaje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SERVICIOS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3,535,190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3,535,190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Gastos de ceremonial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Gastos de orden  social y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3,535,190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3,535,190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Congresos y convenciones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Exposiciones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Gastos de representación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1,251,095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94,694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1,345,789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948,457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Servicios funerarios y de cementerios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274,694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Impuestos y 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102,638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122,638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Impuestos y derechos de importación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Sentencias y resoluciones por autoridad competente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Penas, multas, accesorios y actualizaciones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gastos por responsabilidades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Utilidades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Impuesto sobre nómina y otros que se deriven de una relación laboral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948,457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948,457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948,457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 xml:space="preserve">BIENES MUEBLES, INMUEBLES E INTANGIBLES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3,072,396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4,865,487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7,937,883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MOBILIARIO Y EQUIPO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451,140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451,140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Muebles de oficina y estantería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451,140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451,140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Muebles, excepto de oficina y estantería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Bienes artísticos, culturales y científicos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Objetos de valor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de cómputo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mobiliarios y equipos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MOBILIARIO Y EQUIPO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Equipos y aparatos audiovisuales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Aparatos deportivos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Cámaras fotográficas y de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Otro mobiliario y equipo educacional y recreativo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521,256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521,256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521,256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521,256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VEHÍCULOS Y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4,800,000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Vehículos y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4,800,000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Carrocerías  y remolques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aeroespacial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ferroviario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Embarcaciones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EQUIPO DE 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de 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MAQUINARIA, OTROS EQUIPOS Y HERRAMIENTAS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Maquinaria y equipo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Maquinaria y equipo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Maquinaria y equipo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Sistemas de aire acondicionado, calefacción y de refrigeración industrial y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de comunicación y telecomunicación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Equipo de generación eléctrica, aparatos y accesorios eléctricos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Herramientas y máquinas-herramienta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equipos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ACTIVOS BIOLÓGICOS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Bovinos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Porcinos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Ovinos y caprinos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Peces y acuicultura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lastRenderedPageBreak/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Equinos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Especies menores y de zoológico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Árboles y plantas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activos biológicos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Terrenos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 xml:space="preserve">Viviendas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Edificios no residenciales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ACTIVOS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Patentes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Marcas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Concesiones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Franquicias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Licencias informáticas e intelectuales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Licencias industriales, comerciales y otras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Otros activos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10,325,180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287,215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2,514,073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13,746,420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24,525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26,897,413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OBRA PÚBLICA EN BIENES DE DOMINIO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10,325,180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287,215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2,514,073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13,746,420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24,525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26,897,413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Edificación habitacional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Edificación no  habitacional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División de terrenos y construcción de obras de urbanización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287,215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2,514,073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6,457,858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24,525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9,283,671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Construcción de vías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10,325,180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7,288,562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17,613,742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Otras construcciones de ingeniería civil u obra pesada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Instalaciones y equipamiento en construcciones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Trabajo de acabados en edificaciones  y otros trabajos especializados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OBRA PÚBLICA EN BIENES PROPIOS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Edificación habitacional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Edificación no habitacional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Construcción de obras para  el abastecimiento de agua,  petróleo, gas, electricidad y 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División de terrenos y construcción de obras de urbanización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Construcción de vías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Otras construcciones de ingeniería civil u obra pesada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Instalaciones y equipamiento en construcciones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Trabajos de acabados en edificaciones y otros trabajos especializados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PROYECTOS PRODUCTIVOS Y ACCIONES DE FOMENTO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</w:tr>
      <w:tr w:rsidR="00714366" w:rsidRPr="00714366" w:rsidTr="007143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714366" w:rsidRPr="00714366" w:rsidTr="007143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4366" w:rsidRPr="00714366" w:rsidRDefault="00714366" w:rsidP="00714366">
            <w:pPr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Ejecución de proyectos productivos no incluidos en conceptos anteriores de este 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4366" w:rsidRPr="00714366" w:rsidRDefault="00714366" w:rsidP="00714366">
            <w:pPr>
              <w:jc w:val="right"/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</w:pPr>
            <w:r w:rsidRPr="00714366">
              <w:rPr>
                <w:rFonts w:ascii="Calibri" w:hAnsi="Calibri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:rsidR="00CB36C6" w:rsidRDefault="00CB36C6" w:rsidP="00CB36C6">
      <w:pPr>
        <w:jc w:val="both"/>
        <w:rPr>
          <w:rFonts w:ascii="Arial" w:hAnsi="Arial" w:cs="Arial"/>
          <w:b/>
          <w:sz w:val="22"/>
          <w:szCs w:val="22"/>
        </w:rPr>
      </w:pPr>
    </w:p>
    <w:p w:rsidR="00CB36C6" w:rsidRDefault="00CB36C6" w:rsidP="00CB36C6">
      <w:pPr>
        <w:jc w:val="both"/>
        <w:rPr>
          <w:rFonts w:ascii="Arial" w:hAnsi="Arial" w:cs="Arial"/>
          <w:b/>
          <w:sz w:val="22"/>
          <w:szCs w:val="22"/>
        </w:rPr>
      </w:pPr>
    </w:p>
    <w:p w:rsidR="00CB36C6" w:rsidRDefault="00CB36C6" w:rsidP="00CB36C6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D41DCA">
        <w:rPr>
          <w:rFonts w:ascii="Arial" w:hAnsi="Arial" w:cs="Arial"/>
          <w:b/>
          <w:sz w:val="22"/>
          <w:szCs w:val="22"/>
        </w:rPr>
        <w:t>Informativo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1925"/>
      </w:tblGrid>
      <w:tr w:rsidR="001D6B39" w:rsidRPr="002F01A6" w:rsidTr="000E67A8">
        <w:tc>
          <w:tcPr>
            <w:tcW w:w="294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4111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1925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6A0824" w:rsidTr="000E67A8">
        <w:tc>
          <w:tcPr>
            <w:tcW w:w="2943" w:type="dxa"/>
          </w:tcPr>
          <w:p w:rsidR="006A0824" w:rsidRPr="005948CA" w:rsidRDefault="00201115" w:rsidP="00201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CA">
              <w:rPr>
                <w:rFonts w:ascii="Arial" w:hAnsi="Arial" w:cs="Arial"/>
                <w:sz w:val="20"/>
                <w:szCs w:val="20"/>
              </w:rPr>
              <w:t>Motocicleta nueva (premio para el contribuyente cumplido).</w:t>
            </w:r>
          </w:p>
        </w:tc>
        <w:tc>
          <w:tcPr>
            <w:tcW w:w="4111" w:type="dxa"/>
          </w:tcPr>
          <w:p w:rsidR="00201115" w:rsidRPr="005948CA" w:rsidRDefault="00201115" w:rsidP="00153F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824" w:rsidRPr="005948CA" w:rsidRDefault="00201115" w:rsidP="00153F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CA">
              <w:rPr>
                <w:rFonts w:ascii="Arial" w:hAnsi="Arial" w:cs="Arial"/>
                <w:sz w:val="20"/>
                <w:szCs w:val="20"/>
              </w:rPr>
              <w:t xml:space="preserve">Motocicleta nueva modelo elite 125 </w:t>
            </w:r>
            <w:proofErr w:type="gramStart"/>
            <w:r w:rsidRPr="005948CA">
              <w:rPr>
                <w:rFonts w:ascii="Arial" w:hAnsi="Arial" w:cs="Arial"/>
                <w:sz w:val="20"/>
                <w:szCs w:val="20"/>
              </w:rPr>
              <w:t>tipo</w:t>
            </w:r>
            <w:proofErr w:type="gramEnd"/>
            <w:r w:rsidRPr="005948CA">
              <w:rPr>
                <w:rFonts w:ascii="Arial" w:hAnsi="Arial" w:cs="Arial"/>
                <w:sz w:val="20"/>
                <w:szCs w:val="20"/>
              </w:rPr>
              <w:t xml:space="preserve"> scooter. $40,000</w:t>
            </w:r>
          </w:p>
        </w:tc>
        <w:tc>
          <w:tcPr>
            <w:tcW w:w="1925" w:type="dxa"/>
          </w:tcPr>
          <w:p w:rsidR="00D41DCA" w:rsidRPr="002733DB" w:rsidRDefault="00201115" w:rsidP="00D41D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 aprueba por unanimidad de los presentes MOTOMANIA HONDA San Juan </w:t>
            </w:r>
          </w:p>
        </w:tc>
      </w:tr>
      <w:tr w:rsidR="006A0824" w:rsidTr="000E67A8">
        <w:tc>
          <w:tcPr>
            <w:tcW w:w="2943" w:type="dxa"/>
          </w:tcPr>
          <w:p w:rsidR="006A0824" w:rsidRPr="005948CA" w:rsidRDefault="00201115" w:rsidP="00B74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CA">
              <w:rPr>
                <w:rFonts w:ascii="Arial" w:hAnsi="Arial" w:cs="Arial"/>
                <w:sz w:val="20"/>
                <w:szCs w:val="20"/>
              </w:rPr>
              <w:t>Bicicleta nueva (premio para el contribuyente cumplido).</w:t>
            </w:r>
          </w:p>
        </w:tc>
        <w:tc>
          <w:tcPr>
            <w:tcW w:w="4111" w:type="dxa"/>
          </w:tcPr>
          <w:p w:rsidR="006A0824" w:rsidRPr="005948CA" w:rsidRDefault="00201115" w:rsidP="007F6C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CA">
              <w:rPr>
                <w:rFonts w:ascii="Arial" w:hAnsi="Arial" w:cs="Arial"/>
                <w:sz w:val="20"/>
                <w:szCs w:val="20"/>
              </w:rPr>
              <w:t xml:space="preserve">Bicicleta nueva modelo 970 SCOTT </w:t>
            </w:r>
            <w:proofErr w:type="spellStart"/>
            <w:r w:rsidR="00C87A43">
              <w:rPr>
                <w:rFonts w:ascii="Arial" w:hAnsi="Arial" w:cs="Arial"/>
                <w:sz w:val="20"/>
                <w:szCs w:val="20"/>
              </w:rPr>
              <w:t>Aspect</w:t>
            </w:r>
            <w:proofErr w:type="spellEnd"/>
            <w:r w:rsidRPr="005948CA">
              <w:rPr>
                <w:rFonts w:ascii="Arial" w:hAnsi="Arial" w:cs="Arial"/>
                <w:sz w:val="20"/>
                <w:szCs w:val="20"/>
              </w:rPr>
              <w:t>.   $12,850.00</w:t>
            </w:r>
          </w:p>
        </w:tc>
        <w:tc>
          <w:tcPr>
            <w:tcW w:w="1925" w:type="dxa"/>
          </w:tcPr>
          <w:p w:rsidR="006A0824" w:rsidRDefault="00201115" w:rsidP="002011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 aprueba por unanimidad de los presentes </w:t>
            </w:r>
          </w:p>
          <w:p w:rsidR="00201115" w:rsidRDefault="00201115" w:rsidP="002011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TTT MEXICO. San Juan de los Lagos.</w:t>
            </w:r>
          </w:p>
        </w:tc>
      </w:tr>
      <w:tr w:rsidR="00CF34B1" w:rsidRPr="005948CA" w:rsidTr="000E67A8">
        <w:tc>
          <w:tcPr>
            <w:tcW w:w="2943" w:type="dxa"/>
          </w:tcPr>
          <w:p w:rsidR="00CF34B1" w:rsidRPr="005948CA" w:rsidRDefault="00201115" w:rsidP="00B74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8CA">
              <w:rPr>
                <w:rFonts w:ascii="Arial" w:hAnsi="Arial" w:cs="Arial"/>
                <w:sz w:val="20"/>
                <w:szCs w:val="20"/>
              </w:rPr>
              <w:t>Material para reparación eléctrica (compra urgente), alumbrado malecón.</w:t>
            </w:r>
          </w:p>
        </w:tc>
        <w:tc>
          <w:tcPr>
            <w:tcW w:w="4111" w:type="dxa"/>
          </w:tcPr>
          <w:p w:rsidR="00CF34B1" w:rsidRPr="005948CA" w:rsidRDefault="005948CA" w:rsidP="007F6C9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n-US"/>
              </w:rPr>
              <w:t>1.-</w:t>
            </w:r>
            <w:r w:rsidR="00201115" w:rsidRPr="005948CA">
              <w:rPr>
                <w:rFonts w:ascii="Arial" w:hAnsi="Arial" w:cs="Arial"/>
                <w:sz w:val="20"/>
                <w:szCs w:val="20"/>
                <w:lang w:val="en-US"/>
              </w:rPr>
              <w:t xml:space="preserve">Cable neutral 2100   2+1#6 </w:t>
            </w:r>
          </w:p>
          <w:p w:rsidR="00201115" w:rsidRPr="005948CA" w:rsidRDefault="005948CA" w:rsidP="007F6C9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201115" w:rsidRPr="005948CA">
              <w:rPr>
                <w:rFonts w:ascii="Arial" w:hAnsi="Arial" w:cs="Arial"/>
                <w:sz w:val="20"/>
                <w:szCs w:val="20"/>
                <w:lang w:val="en-US"/>
              </w:rPr>
              <w:t>Cable neutral 500   1+1 #6</w:t>
            </w:r>
          </w:p>
          <w:p w:rsidR="00201115" w:rsidRPr="005948CA" w:rsidRDefault="00201115" w:rsidP="007F6C9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n-US"/>
              </w:rPr>
              <w:t xml:space="preserve"> Monto   $45,054.40</w:t>
            </w:r>
          </w:p>
          <w:p w:rsidR="00201115" w:rsidRPr="00737EE4" w:rsidRDefault="005948CA" w:rsidP="007F6C9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37EE4">
              <w:rPr>
                <w:rFonts w:ascii="Arial" w:hAnsi="Arial" w:cs="Arial"/>
                <w:sz w:val="20"/>
                <w:szCs w:val="20"/>
                <w:lang w:val="en-US"/>
              </w:rPr>
              <w:t>Factura</w:t>
            </w:r>
            <w:proofErr w:type="spellEnd"/>
            <w:r w:rsidRPr="00737EE4">
              <w:rPr>
                <w:rFonts w:ascii="Arial" w:hAnsi="Arial" w:cs="Arial"/>
                <w:sz w:val="20"/>
                <w:szCs w:val="20"/>
                <w:lang w:val="en-US"/>
              </w:rPr>
              <w:t xml:space="preserve"> 2074</w:t>
            </w:r>
          </w:p>
          <w:p w:rsidR="005948CA" w:rsidRPr="00737EE4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EE4">
              <w:rPr>
                <w:rFonts w:ascii="Arial" w:hAnsi="Arial" w:cs="Arial"/>
                <w:sz w:val="20"/>
                <w:szCs w:val="20"/>
                <w:lang w:val="en-US"/>
              </w:rPr>
              <w:t xml:space="preserve">2.-Cable neutral 2100   2+1#6 </w:t>
            </w:r>
          </w:p>
          <w:p w:rsidR="005948CA" w:rsidRPr="00737EE4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7EE4">
              <w:rPr>
                <w:rFonts w:ascii="Arial" w:hAnsi="Arial" w:cs="Arial"/>
                <w:sz w:val="20"/>
                <w:szCs w:val="20"/>
                <w:lang w:val="en-US"/>
              </w:rPr>
              <w:t xml:space="preserve">    Cable neutral 500   1+1 #6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7E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Monto   $45,054.40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Factura 2075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3.-Cable neutral 500   1+1 #6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 xml:space="preserve"> Monto   $36,470.40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Factura 2076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 xml:space="preserve">4.-Luminaria </w:t>
            </w:r>
            <w:proofErr w:type="spellStart"/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urban</w:t>
            </w:r>
            <w:proofErr w:type="spellEnd"/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 xml:space="preserve"> plus de 50 </w:t>
            </w:r>
            <w:proofErr w:type="spellStart"/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wtts</w:t>
            </w:r>
            <w:proofErr w:type="spellEnd"/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17 piezas.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Monto $48,864.44</w:t>
            </w:r>
          </w:p>
          <w:p w:rsidR="005948CA" w:rsidRPr="005948CA" w:rsidRDefault="005948CA" w:rsidP="005948C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948CA">
              <w:rPr>
                <w:rFonts w:ascii="Arial" w:hAnsi="Arial" w:cs="Arial"/>
                <w:sz w:val="20"/>
                <w:szCs w:val="20"/>
                <w:lang w:val="es-MX"/>
              </w:rPr>
              <w:t>Factura 2077.</w:t>
            </w:r>
          </w:p>
        </w:tc>
        <w:tc>
          <w:tcPr>
            <w:tcW w:w="1925" w:type="dxa"/>
          </w:tcPr>
          <w:p w:rsidR="005948CA" w:rsidRDefault="005948CA" w:rsidP="00594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 aprueba por unanimidad de los presentes.</w:t>
            </w:r>
          </w:p>
          <w:p w:rsidR="005948CA" w:rsidRDefault="005948CA" w:rsidP="00594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 foco iluminación y material eléctrico. </w:t>
            </w:r>
          </w:p>
          <w:p w:rsidR="00CF34B1" w:rsidRPr="005948CA" w:rsidRDefault="00CF34B1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6B39" w:rsidRPr="005948CA" w:rsidRDefault="001D6B39" w:rsidP="001D6B3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925"/>
      </w:tblGrid>
      <w:tr w:rsidR="00032055" w:rsidTr="000E67A8">
        <w:tc>
          <w:tcPr>
            <w:tcW w:w="2943" w:type="dxa"/>
          </w:tcPr>
          <w:p w:rsidR="003C2D2D" w:rsidRPr="000E67A8" w:rsidRDefault="003E412E" w:rsidP="00143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Uniformes para los elementos de la </w:t>
            </w:r>
            <w:r w:rsidR="00C87A43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Protección Civil del Municipio de San Juan de los Lagos.  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pantalón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playera, botas, cinturón).</w:t>
            </w:r>
          </w:p>
        </w:tc>
        <w:tc>
          <w:tcPr>
            <w:tcW w:w="4111" w:type="dxa"/>
          </w:tcPr>
          <w:p w:rsidR="00A133FC" w:rsidRDefault="003E412E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Pantalón comando tela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ristop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supremo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A43">
              <w:rPr>
                <w:rFonts w:ascii="Arial" w:hAnsi="Arial" w:cs="Arial"/>
                <w:sz w:val="18"/>
                <w:szCs w:val="18"/>
              </w:rPr>
              <w:t>permeable</w:t>
            </w:r>
            <w:r>
              <w:rPr>
                <w:rFonts w:ascii="Arial" w:hAnsi="Arial" w:cs="Arial"/>
                <w:sz w:val="18"/>
                <w:szCs w:val="18"/>
              </w:rPr>
              <w:t>.  32 piezas.</w:t>
            </w:r>
          </w:p>
          <w:p w:rsidR="003E412E" w:rsidRDefault="003E412E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Playera polo corte táctico bicolor</w:t>
            </w:r>
            <w:r w:rsidR="00E52305">
              <w:rPr>
                <w:rFonts w:ascii="Arial" w:hAnsi="Arial" w:cs="Arial"/>
                <w:sz w:val="18"/>
                <w:szCs w:val="18"/>
              </w:rPr>
              <w:t>. Algodón. 32 piezas.</w:t>
            </w:r>
          </w:p>
          <w:p w:rsidR="00E52305" w:rsidRDefault="00E52305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Bota táctica marca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Negra Certificadas STPS. 16 Piezas.</w:t>
            </w:r>
          </w:p>
          <w:p w:rsidR="00E52305" w:rsidRPr="000E67A8" w:rsidRDefault="00201115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Cinturón.16 piezas</w:t>
            </w:r>
          </w:p>
        </w:tc>
        <w:tc>
          <w:tcPr>
            <w:tcW w:w="1925" w:type="dxa"/>
          </w:tcPr>
          <w:p w:rsidR="00032055" w:rsidRPr="000E67A8" w:rsidRDefault="00201115" w:rsidP="00D41D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PENDIENTE.</w:t>
            </w:r>
          </w:p>
        </w:tc>
      </w:tr>
      <w:tr w:rsidR="00D41DCA" w:rsidTr="000E67A8">
        <w:tc>
          <w:tcPr>
            <w:tcW w:w="2943" w:type="dxa"/>
          </w:tcPr>
          <w:p w:rsidR="00D41DCA" w:rsidRPr="000E67A8" w:rsidRDefault="00D41DCA" w:rsidP="00143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D41DCA" w:rsidRPr="000E67A8" w:rsidRDefault="00D41DCA" w:rsidP="005B73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41DCA" w:rsidRPr="000E67A8" w:rsidRDefault="00D41DCA" w:rsidP="00D41D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C01F22" w:rsidRPr="008F1131" w:rsidRDefault="00563526" w:rsidP="008F1131">
      <w:pPr>
        <w:pStyle w:val="Prrafodelista"/>
        <w:numPr>
          <w:ilvl w:val="0"/>
          <w:numId w:val="30"/>
        </w:numPr>
        <w:rPr>
          <w:rFonts w:ascii="Arial" w:hAnsi="Arial" w:cs="Arial"/>
          <w:sz w:val="22"/>
          <w:lang w:val="pt-PT"/>
        </w:rPr>
      </w:pPr>
      <w:r w:rsidRPr="008F1131">
        <w:rPr>
          <w:rFonts w:ascii="Arial" w:hAnsi="Arial" w:cs="Arial"/>
          <w:sz w:val="22"/>
          <w:szCs w:val="22"/>
        </w:rPr>
        <w:t xml:space="preserve">La Consejera </w:t>
      </w:r>
      <w:r w:rsidR="000E67A8" w:rsidRPr="008F1131">
        <w:rPr>
          <w:rFonts w:ascii="Arial" w:hAnsi="Arial" w:cs="Arial"/>
          <w:sz w:val="22"/>
          <w:lang w:val="pt-PT"/>
        </w:rPr>
        <w:t xml:space="preserve">C. MTRA. CLAUDIA JEANETTE CARRANZA SANTOS, en uso de </w:t>
      </w:r>
      <w:proofErr w:type="gramStart"/>
      <w:r w:rsidR="000E67A8" w:rsidRPr="008F1131">
        <w:rPr>
          <w:rFonts w:ascii="Arial" w:hAnsi="Arial" w:cs="Arial"/>
          <w:sz w:val="22"/>
          <w:lang w:val="pt-PT"/>
        </w:rPr>
        <w:t>la</w:t>
      </w:r>
      <w:proofErr w:type="gramEnd"/>
      <w:r w:rsidR="000E67A8" w:rsidRPr="008F1131">
        <w:rPr>
          <w:rFonts w:ascii="Arial" w:hAnsi="Arial" w:cs="Arial"/>
          <w:sz w:val="22"/>
          <w:lang w:val="pt-PT"/>
        </w:rPr>
        <w:t xml:space="preserve"> vo</w:t>
      </w:r>
      <w:r w:rsidR="008F1131" w:rsidRPr="008F1131">
        <w:rPr>
          <w:rFonts w:ascii="Arial" w:hAnsi="Arial" w:cs="Arial"/>
          <w:sz w:val="22"/>
          <w:lang w:val="pt-PT"/>
        </w:rPr>
        <w:t xml:space="preserve">z expone que ya se tiene en </w:t>
      </w:r>
      <w:r w:rsidR="000E67A8" w:rsidRPr="008F1131">
        <w:rPr>
          <w:rFonts w:ascii="Arial" w:hAnsi="Arial" w:cs="Arial"/>
          <w:sz w:val="22"/>
          <w:lang w:val="pt-PT"/>
        </w:rPr>
        <w:t>funcionamiento del Centro de Control y Bienestar Animal del Municipio de San Juan de los Lagos</w:t>
      </w:r>
      <w:r w:rsidR="008F1131" w:rsidRPr="008F1131">
        <w:rPr>
          <w:rFonts w:ascii="Arial" w:hAnsi="Arial" w:cs="Arial"/>
          <w:sz w:val="22"/>
          <w:lang w:val="pt-PT"/>
        </w:rPr>
        <w:t>.</w:t>
      </w:r>
    </w:p>
    <w:p w:rsidR="008F1131" w:rsidRDefault="008F1131" w:rsidP="008F1131">
      <w:pPr>
        <w:jc w:val="both"/>
        <w:rPr>
          <w:rFonts w:ascii="Arial" w:hAnsi="Arial" w:cs="Arial"/>
          <w:b/>
          <w:sz w:val="22"/>
          <w:szCs w:val="22"/>
        </w:rPr>
      </w:pPr>
    </w:p>
    <w:p w:rsidR="008F1131" w:rsidRDefault="008F1131" w:rsidP="008F11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Informativo.</w:t>
      </w:r>
    </w:p>
    <w:p w:rsidR="008F1131" w:rsidRDefault="008F1131" w:rsidP="008F1131">
      <w:pPr>
        <w:rPr>
          <w:rFonts w:ascii="Arial" w:hAnsi="Arial" w:cs="Arial"/>
          <w:sz w:val="22"/>
          <w:szCs w:val="22"/>
        </w:rPr>
      </w:pPr>
    </w:p>
    <w:p w:rsidR="008F1131" w:rsidRDefault="008F1131" w:rsidP="008F1131">
      <w:pPr>
        <w:pStyle w:val="Prrafodelista"/>
        <w:numPr>
          <w:ilvl w:val="0"/>
          <w:numId w:val="30"/>
        </w:numPr>
        <w:rPr>
          <w:rFonts w:ascii="Arial" w:hAnsi="Arial" w:cs="Arial"/>
          <w:sz w:val="22"/>
          <w:lang w:val="pt-PT"/>
        </w:rPr>
      </w:pPr>
      <w:r w:rsidRPr="008F1131">
        <w:rPr>
          <w:rFonts w:ascii="Arial" w:hAnsi="Arial" w:cs="Arial"/>
          <w:sz w:val="22"/>
          <w:szCs w:val="22"/>
        </w:rPr>
        <w:t xml:space="preserve">La Consejera </w:t>
      </w:r>
      <w:r w:rsidRPr="008F1131">
        <w:rPr>
          <w:rFonts w:ascii="Arial" w:hAnsi="Arial" w:cs="Arial"/>
          <w:sz w:val="22"/>
          <w:lang w:val="pt-PT"/>
        </w:rPr>
        <w:t xml:space="preserve">C. MTRA. CLAUDIA JEANETTE CARRANZA SANTOS, en uso de </w:t>
      </w:r>
      <w:proofErr w:type="gramStart"/>
      <w:r w:rsidRPr="008F1131">
        <w:rPr>
          <w:rFonts w:ascii="Arial" w:hAnsi="Arial" w:cs="Arial"/>
          <w:sz w:val="22"/>
          <w:lang w:val="pt-PT"/>
        </w:rPr>
        <w:t>la</w:t>
      </w:r>
      <w:proofErr w:type="gramEnd"/>
      <w:r w:rsidRPr="008F1131">
        <w:rPr>
          <w:rFonts w:ascii="Arial" w:hAnsi="Arial" w:cs="Arial"/>
          <w:sz w:val="22"/>
          <w:lang w:val="pt-PT"/>
        </w:rPr>
        <w:t xml:space="preserve"> voz expone</w:t>
      </w:r>
      <w:r>
        <w:rPr>
          <w:rFonts w:ascii="Arial" w:hAnsi="Arial" w:cs="Arial"/>
          <w:sz w:val="22"/>
          <w:lang w:val="pt-PT"/>
        </w:rPr>
        <w:t xml:space="preserve"> la necesidad d</w:t>
      </w:r>
      <w:r w:rsidR="00C87A43">
        <w:rPr>
          <w:rFonts w:ascii="Arial" w:hAnsi="Arial" w:cs="Arial"/>
          <w:sz w:val="22"/>
          <w:lang w:val="pt-PT"/>
        </w:rPr>
        <w:t xml:space="preserve">e generar dictamen con el objetivo de modificar </w:t>
      </w:r>
      <w:r>
        <w:rPr>
          <w:rFonts w:ascii="Arial" w:hAnsi="Arial" w:cs="Arial"/>
          <w:sz w:val="22"/>
          <w:lang w:val="pt-PT"/>
        </w:rPr>
        <w:t xml:space="preserve"> los requisitos para ser beneficiario del programa  de apoyo CADA GOTA CUENTA, en el que se entregara un ticano sisterna:</w:t>
      </w:r>
    </w:p>
    <w:p w:rsidR="00946CF5" w:rsidRPr="00946CF5" w:rsidRDefault="00946CF5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Se modifican los requisitos en relacion a </w:t>
      </w:r>
      <w:proofErr w:type="gramStart"/>
      <w:r>
        <w:rPr>
          <w:rFonts w:ascii="Arial" w:hAnsi="Arial" w:cs="Arial"/>
          <w:sz w:val="22"/>
          <w:lang w:val="pt-PT"/>
        </w:rPr>
        <w:t>la</w:t>
      </w:r>
      <w:proofErr w:type="gramEnd"/>
      <w:r>
        <w:rPr>
          <w:rFonts w:ascii="Arial" w:hAnsi="Arial" w:cs="Arial"/>
          <w:sz w:val="22"/>
          <w:lang w:val="pt-PT"/>
        </w:rPr>
        <w:t xml:space="preserve"> presentación del documento que acredite  la poseesion como la Minuta (contrato compraventa  o  Titulo de propiedad (esc</w:t>
      </w:r>
      <w:r w:rsidR="00A23429">
        <w:rPr>
          <w:rFonts w:ascii="Arial" w:hAnsi="Arial" w:cs="Arial"/>
          <w:sz w:val="22"/>
          <w:lang w:val="pt-PT"/>
        </w:rPr>
        <w:t>ritura Publica), podra exentar</w:t>
      </w:r>
      <w:r>
        <w:rPr>
          <w:rFonts w:ascii="Arial" w:hAnsi="Arial" w:cs="Arial"/>
          <w:sz w:val="22"/>
          <w:lang w:val="pt-PT"/>
        </w:rPr>
        <w:t xml:space="preserve"> a quienes por condiciones especificas (criterio de oportunidad) no tengan modo de excibirlo, en relacion al apartado de </w:t>
      </w:r>
    </w:p>
    <w:p w:rsidR="00946CF5" w:rsidRPr="00946CF5" w:rsidRDefault="00946CF5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REQUISITOS:</w:t>
      </w:r>
    </w:p>
    <w:p w:rsidR="00946CF5" w:rsidRDefault="00A23429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SE MODIFICAN </w:t>
      </w:r>
      <w:r w:rsidR="00946CF5">
        <w:rPr>
          <w:rFonts w:ascii="Arial" w:hAnsi="Arial" w:cs="Arial"/>
          <w:sz w:val="22"/>
          <w:lang w:val="pt-PT"/>
        </w:rPr>
        <w:t xml:space="preserve">FRACCION </w:t>
      </w:r>
      <w:r w:rsidR="00737EE4">
        <w:rPr>
          <w:rFonts w:ascii="Arial" w:hAnsi="Arial" w:cs="Arial"/>
          <w:sz w:val="22"/>
          <w:lang w:val="pt-PT"/>
        </w:rPr>
        <w:t xml:space="preserve">IV y </w:t>
      </w:r>
      <w:r w:rsidR="00946CF5">
        <w:rPr>
          <w:rFonts w:ascii="Arial" w:hAnsi="Arial" w:cs="Arial"/>
          <w:sz w:val="22"/>
          <w:lang w:val="pt-PT"/>
        </w:rPr>
        <w:t>V</w:t>
      </w:r>
    </w:p>
    <w:p w:rsidR="00737EE4" w:rsidRDefault="00737EE4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Antes:</w:t>
      </w:r>
    </w:p>
    <w:p w:rsidR="00737EE4" w:rsidRDefault="00A23429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noProof/>
          <w:sz w:val="22"/>
          <w:lang w:val="es-MX" w:eastAsia="es-MX"/>
        </w:rPr>
        <w:lastRenderedPageBreak/>
        <w:drawing>
          <wp:inline distT="0" distB="0" distL="0" distR="0" wp14:anchorId="1D6091B0" wp14:editId="1CC1C62F">
            <wp:extent cx="5605780" cy="271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E4" w:rsidRDefault="00737EE4" w:rsidP="00946CF5">
      <w:pPr>
        <w:pStyle w:val="Prrafodelista"/>
        <w:rPr>
          <w:rFonts w:ascii="Arial" w:hAnsi="Arial" w:cs="Arial"/>
          <w:sz w:val="22"/>
          <w:lang w:val="pt-PT"/>
        </w:rPr>
      </w:pPr>
    </w:p>
    <w:p w:rsidR="00946CF5" w:rsidRPr="00A23429" w:rsidRDefault="00737EE4" w:rsidP="00A23429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Ahora:</w:t>
      </w:r>
    </w:p>
    <w:p w:rsidR="00A23429" w:rsidRPr="008F1131" w:rsidRDefault="00A23429" w:rsidP="00946CF5">
      <w:pPr>
        <w:pStyle w:val="Prrafodelista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noProof/>
          <w:sz w:val="22"/>
          <w:lang w:val="es-MX" w:eastAsia="es-MX"/>
        </w:rPr>
        <w:drawing>
          <wp:inline distT="0" distB="0" distL="0" distR="0" wp14:anchorId="50DCCA39" wp14:editId="4146BBAF">
            <wp:extent cx="5605780" cy="24885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31" w:rsidRPr="00946CF5" w:rsidRDefault="008F1131" w:rsidP="008F1131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8F1131" w:rsidRDefault="00946CF5" w:rsidP="008F11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</w:t>
      </w:r>
      <w:r w:rsidR="003E412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or unanimidad de los presentes se aprueba dictamen </w:t>
      </w:r>
      <w:r w:rsidR="00A23429">
        <w:rPr>
          <w:rFonts w:ascii="Arial" w:hAnsi="Arial" w:cs="Arial"/>
          <w:sz w:val="22"/>
          <w:lang w:val="pt-PT"/>
        </w:rPr>
        <w:t>podra exentar</w:t>
      </w:r>
      <w:r>
        <w:rPr>
          <w:rFonts w:ascii="Arial" w:hAnsi="Arial" w:cs="Arial"/>
          <w:sz w:val="22"/>
          <w:lang w:val="pt-PT"/>
        </w:rPr>
        <w:t xml:space="preserve"> a quienes por condiciones especificas (criterio de oportunidad)</w:t>
      </w:r>
      <w:r>
        <w:rPr>
          <w:rFonts w:ascii="Arial" w:hAnsi="Arial" w:cs="Arial"/>
          <w:b/>
          <w:sz w:val="22"/>
          <w:szCs w:val="22"/>
        </w:rPr>
        <w:t>,</w:t>
      </w:r>
      <w:r w:rsidRPr="00946CF5">
        <w:rPr>
          <w:rFonts w:ascii="Arial" w:hAnsi="Arial" w:cs="Arial"/>
          <w:sz w:val="22"/>
          <w:lang w:val="pt-PT"/>
        </w:rPr>
        <w:t xml:space="preserve"> </w:t>
      </w:r>
      <w:r>
        <w:rPr>
          <w:rFonts w:ascii="Arial" w:hAnsi="Arial" w:cs="Arial"/>
          <w:sz w:val="22"/>
          <w:lang w:val="pt-PT"/>
        </w:rPr>
        <w:t>la presentación del documento que acredite  la poseesion como la Minuta (contrato compraventa  o  Titulo de propiedad (escritura Publica).</w:t>
      </w:r>
      <w:r w:rsidR="003E412E">
        <w:rPr>
          <w:rFonts w:ascii="Arial" w:hAnsi="Arial" w:cs="Arial"/>
          <w:sz w:val="22"/>
          <w:lang w:val="pt-PT"/>
        </w:rPr>
        <w:t xml:space="preserve"> </w:t>
      </w:r>
      <w:r w:rsidR="003E412E">
        <w:rPr>
          <w:rFonts w:ascii="Arial" w:hAnsi="Arial" w:cs="Arial"/>
          <w:sz w:val="22"/>
          <w:szCs w:val="22"/>
        </w:rPr>
        <w:t>Se turne</w:t>
      </w:r>
      <w:r w:rsidR="003E412E" w:rsidRPr="00EE5C93">
        <w:rPr>
          <w:rFonts w:ascii="Arial" w:hAnsi="Arial" w:cs="Arial"/>
          <w:sz w:val="22"/>
          <w:szCs w:val="22"/>
        </w:rPr>
        <w:t xml:space="preserve"> al Cabildo Municipal para su </w:t>
      </w:r>
      <w:r w:rsidR="003E412E">
        <w:rPr>
          <w:rFonts w:ascii="Arial" w:hAnsi="Arial" w:cs="Arial"/>
          <w:sz w:val="22"/>
          <w:szCs w:val="22"/>
        </w:rPr>
        <w:t xml:space="preserve">discusión y probable </w:t>
      </w:r>
      <w:r w:rsidR="003E412E" w:rsidRPr="00EE5C93">
        <w:rPr>
          <w:rFonts w:ascii="Arial" w:hAnsi="Arial" w:cs="Arial"/>
          <w:sz w:val="22"/>
          <w:szCs w:val="22"/>
        </w:rPr>
        <w:t xml:space="preserve">aprobación, se instruye al Secretario Técnico para que envié el dictamen a la Secretaria General del Municipio  y se incorpore el asunto en el orden del </w:t>
      </w:r>
      <w:r w:rsidR="003E412E">
        <w:rPr>
          <w:rFonts w:ascii="Arial" w:hAnsi="Arial" w:cs="Arial"/>
          <w:sz w:val="22"/>
          <w:szCs w:val="22"/>
        </w:rPr>
        <w:t>día.</w:t>
      </w:r>
    </w:p>
    <w:p w:rsidR="003E412E" w:rsidRDefault="003E412E" w:rsidP="003E412E">
      <w:pPr>
        <w:rPr>
          <w:rFonts w:ascii="Arial" w:hAnsi="Arial" w:cs="Arial"/>
        </w:rPr>
      </w:pPr>
    </w:p>
    <w:p w:rsidR="003E412E" w:rsidRPr="003E412E" w:rsidRDefault="003E412E" w:rsidP="003E412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lang w:val="pt-PT"/>
        </w:rPr>
      </w:pPr>
      <w:r w:rsidRPr="003E412E">
        <w:rPr>
          <w:rFonts w:ascii="Arial" w:hAnsi="Arial" w:cs="Arial"/>
          <w:sz w:val="22"/>
          <w:szCs w:val="22"/>
        </w:rPr>
        <w:t xml:space="preserve">La Consejera </w:t>
      </w:r>
      <w:r w:rsidRPr="003E412E">
        <w:rPr>
          <w:rFonts w:ascii="Arial" w:hAnsi="Arial" w:cs="Arial"/>
          <w:lang w:val="pt-PT"/>
        </w:rPr>
        <w:t>DRA. LAURA ANGELICA CHAVEZ CONTRERAS</w:t>
      </w:r>
      <w:r>
        <w:rPr>
          <w:rFonts w:ascii="Arial" w:hAnsi="Arial" w:cs="Arial"/>
          <w:sz w:val="22"/>
          <w:lang w:val="pt-PT"/>
        </w:rPr>
        <w:t xml:space="preserve">, en uso de </w:t>
      </w:r>
      <w:proofErr w:type="gramStart"/>
      <w:r>
        <w:rPr>
          <w:rFonts w:ascii="Arial" w:hAnsi="Arial" w:cs="Arial"/>
          <w:sz w:val="22"/>
          <w:lang w:val="pt-PT"/>
        </w:rPr>
        <w:t>la</w:t>
      </w:r>
      <w:proofErr w:type="gramEnd"/>
      <w:r>
        <w:rPr>
          <w:rFonts w:ascii="Arial" w:hAnsi="Arial" w:cs="Arial"/>
          <w:sz w:val="22"/>
          <w:lang w:val="pt-PT"/>
        </w:rPr>
        <w:t xml:space="preserve"> </w:t>
      </w:r>
      <w:r w:rsidRPr="003E412E">
        <w:rPr>
          <w:rFonts w:ascii="Arial" w:hAnsi="Arial" w:cs="Arial"/>
          <w:sz w:val="22"/>
          <w:lang w:val="pt-PT"/>
        </w:rPr>
        <w:t xml:space="preserve">voz expone </w:t>
      </w:r>
      <w:r>
        <w:rPr>
          <w:rFonts w:ascii="Arial" w:hAnsi="Arial" w:cs="Arial"/>
          <w:sz w:val="22"/>
          <w:lang w:val="pt-PT"/>
        </w:rPr>
        <w:t>la necesidad de la compra de tanques de oxigano para generar la posibilidad de otorgar a quienes esten padeciendo COVID- 19, ya que se puede observar la falta de embace para el rellenado de oxigeno.</w:t>
      </w:r>
    </w:p>
    <w:p w:rsidR="003E412E" w:rsidRDefault="003E412E" w:rsidP="003E412E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Expone a la mesa sobre el seguimiento que se </w:t>
      </w: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87A43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 xml:space="preserve"> dado a la instalación de espacios (lactarios), en diferentes puntos de la zona centro en atención a los peregrinos.</w:t>
      </w:r>
    </w:p>
    <w:p w:rsidR="000E67A8" w:rsidRPr="003E412E" w:rsidRDefault="003E412E" w:rsidP="003E412E">
      <w:pPr>
        <w:pStyle w:val="Prrafodelista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sz w:val="22"/>
          <w:szCs w:val="22"/>
        </w:rPr>
        <w:t xml:space="preserve">Además recuerda sobre la importancia </w:t>
      </w:r>
      <w:r w:rsidR="00C87A43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funcionamiento </w:t>
      </w:r>
      <w:proofErr w:type="spellStart"/>
      <w:r>
        <w:rPr>
          <w:rFonts w:ascii="Arial" w:hAnsi="Arial" w:cs="Arial"/>
          <w:sz w:val="22"/>
          <w:szCs w:val="22"/>
        </w:rPr>
        <w:t>de 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7A43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oficial (patrulla rosa), en relación a la atención de la mujer por prevención a la violencia de genero. </w:t>
      </w:r>
      <w:r w:rsidR="00924443" w:rsidRPr="003E412E">
        <w:rPr>
          <w:rFonts w:ascii="Arial" w:hAnsi="Arial" w:cs="Arial"/>
          <w:sz w:val="22"/>
          <w:szCs w:val="22"/>
        </w:rPr>
        <w:t xml:space="preserve"> </w:t>
      </w:r>
    </w:p>
    <w:p w:rsidR="00EE5C93" w:rsidRPr="002733DB" w:rsidRDefault="00EE5C93" w:rsidP="002733DB">
      <w:pPr>
        <w:rPr>
          <w:rFonts w:ascii="Arial" w:hAnsi="Arial" w:cs="Arial"/>
          <w:lang w:val="pt-PT"/>
        </w:rPr>
      </w:pPr>
    </w:p>
    <w:p w:rsidR="005A27E7" w:rsidRDefault="00924443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Informativo.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64247">
        <w:rPr>
          <w:rFonts w:ascii="Arial" w:hAnsi="Arial" w:cs="Arial"/>
          <w:sz w:val="22"/>
        </w:rPr>
        <w:t>16 horas con 0</w:t>
      </w:r>
      <w:r w:rsidR="002733D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</w:t>
      </w:r>
      <w:r w:rsidR="00C44E65">
        <w:rPr>
          <w:rFonts w:ascii="Arial" w:hAnsi="Arial" w:cs="Arial"/>
          <w:sz w:val="22"/>
        </w:rPr>
        <w:lastRenderedPageBreak/>
        <w:t>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153F5E">
        <w:rPr>
          <w:rFonts w:ascii="Arial" w:hAnsi="Arial" w:cs="Arial"/>
          <w:sz w:val="22"/>
        </w:rPr>
        <w:t xml:space="preserve"> de la Comisión Técnica de Adquisiciones del Municipio de San Juan de los Lagos: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2733DB" w:rsidRDefault="002733DB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 xml:space="preserve">Secretario General del Ayuntamiento de San Juan de los Lagos, LIC VERULO MURO </w:t>
            </w:r>
            <w:proofErr w:type="spellStart"/>
            <w:r w:rsidRPr="00E12918">
              <w:rPr>
                <w:rFonts w:ascii="Arial" w:hAnsi="Arial" w:cs="Arial"/>
                <w:sz w:val="22"/>
              </w:rPr>
              <w:t>MURO</w:t>
            </w:r>
            <w:proofErr w:type="spellEnd"/>
          </w:p>
          <w:p w:rsidR="006550B4" w:rsidRPr="008C769F" w:rsidRDefault="006550B4" w:rsidP="002733DB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27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01F22" w:rsidP="00CE28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>C.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CB36C6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B9" w:rsidRDefault="008115B9" w:rsidP="00E161C3">
      <w:r>
        <w:separator/>
      </w:r>
    </w:p>
  </w:endnote>
  <w:endnote w:type="continuationSeparator" w:id="0">
    <w:p w:rsidR="008115B9" w:rsidRDefault="008115B9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D" w:rsidRDefault="00713E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E4D" w:rsidRDefault="00713E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D" w:rsidRDefault="00713E4D">
    <w:pPr>
      <w:pStyle w:val="Piedepgina"/>
      <w:jc w:val="right"/>
    </w:pPr>
  </w:p>
  <w:p w:rsidR="00713E4D" w:rsidRDefault="00713E4D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5DD8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5DD8">
      <w:rPr>
        <w:b/>
        <w:bCs/>
        <w:noProof/>
      </w:rPr>
      <w:t>10</w:t>
    </w:r>
    <w:r>
      <w:rPr>
        <w:b/>
        <w:bCs/>
      </w:rPr>
      <w:fldChar w:fldCharType="end"/>
    </w:r>
  </w:p>
  <w:p w:rsidR="00713E4D" w:rsidRDefault="00713E4D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10 de  Febrero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B9" w:rsidRDefault="008115B9" w:rsidP="00E161C3">
      <w:r>
        <w:separator/>
      </w:r>
    </w:p>
  </w:footnote>
  <w:footnote w:type="continuationSeparator" w:id="0">
    <w:p w:rsidR="008115B9" w:rsidRDefault="008115B9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D" w:rsidRDefault="00713E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E4D" w:rsidRDefault="00713E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D" w:rsidRDefault="00713E4D">
    <w:pPr>
      <w:pStyle w:val="Ttulo1"/>
      <w:rPr>
        <w:b/>
      </w:rPr>
    </w:pPr>
  </w:p>
  <w:p w:rsidR="00713E4D" w:rsidRDefault="00713E4D">
    <w:pPr>
      <w:pStyle w:val="Ttulo1"/>
      <w:rPr>
        <w:b/>
      </w:rPr>
    </w:pPr>
    <w:r>
      <w:rPr>
        <w:b/>
      </w:rPr>
      <w:t xml:space="preserve">          </w:t>
    </w:r>
  </w:p>
  <w:p w:rsidR="00713E4D" w:rsidRDefault="00713E4D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2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425F"/>
    <w:multiLevelType w:val="hybridMultilevel"/>
    <w:tmpl w:val="1BF62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9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5"/>
  </w:num>
  <w:num w:numId="5">
    <w:abstractNumId w:val="23"/>
  </w:num>
  <w:num w:numId="6">
    <w:abstractNumId w:val="4"/>
  </w:num>
  <w:num w:numId="7">
    <w:abstractNumId w:val="18"/>
  </w:num>
  <w:num w:numId="8">
    <w:abstractNumId w:val="2"/>
  </w:num>
  <w:num w:numId="9">
    <w:abstractNumId w:val="26"/>
  </w:num>
  <w:num w:numId="10">
    <w:abstractNumId w:val="3"/>
  </w:num>
  <w:num w:numId="11">
    <w:abstractNumId w:val="17"/>
  </w:num>
  <w:num w:numId="12">
    <w:abstractNumId w:val="15"/>
  </w:num>
  <w:num w:numId="13">
    <w:abstractNumId w:val="25"/>
  </w:num>
  <w:num w:numId="14">
    <w:abstractNumId w:val="19"/>
  </w:num>
  <w:num w:numId="15">
    <w:abstractNumId w:val="13"/>
  </w:num>
  <w:num w:numId="16">
    <w:abstractNumId w:val="22"/>
  </w:num>
  <w:num w:numId="17">
    <w:abstractNumId w:val="16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4"/>
  </w:num>
  <w:num w:numId="26">
    <w:abstractNumId w:val="12"/>
  </w:num>
  <w:num w:numId="27">
    <w:abstractNumId w:val="8"/>
  </w:num>
  <w:num w:numId="28">
    <w:abstractNumId w:val="9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77C0B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D6E3E"/>
    <w:rsid w:val="000D764F"/>
    <w:rsid w:val="000D7BEE"/>
    <w:rsid w:val="000E2DC8"/>
    <w:rsid w:val="000E5602"/>
    <w:rsid w:val="000E67A8"/>
    <w:rsid w:val="000F2B53"/>
    <w:rsid w:val="00103DF6"/>
    <w:rsid w:val="00114C4F"/>
    <w:rsid w:val="00124C5B"/>
    <w:rsid w:val="0013027F"/>
    <w:rsid w:val="00131F44"/>
    <w:rsid w:val="001430D5"/>
    <w:rsid w:val="00143CB9"/>
    <w:rsid w:val="001515B9"/>
    <w:rsid w:val="00152EB7"/>
    <w:rsid w:val="00153F5E"/>
    <w:rsid w:val="00155E8D"/>
    <w:rsid w:val="00161955"/>
    <w:rsid w:val="0016556D"/>
    <w:rsid w:val="00190040"/>
    <w:rsid w:val="00191FF0"/>
    <w:rsid w:val="001A076C"/>
    <w:rsid w:val="001A2192"/>
    <w:rsid w:val="001A6262"/>
    <w:rsid w:val="001A68EE"/>
    <w:rsid w:val="001B2209"/>
    <w:rsid w:val="001B7E5B"/>
    <w:rsid w:val="001C78DD"/>
    <w:rsid w:val="001D0D1B"/>
    <w:rsid w:val="001D1927"/>
    <w:rsid w:val="001D6B39"/>
    <w:rsid w:val="001E5B9E"/>
    <w:rsid w:val="001F281B"/>
    <w:rsid w:val="001F4E38"/>
    <w:rsid w:val="00201115"/>
    <w:rsid w:val="002034FF"/>
    <w:rsid w:val="00211D0E"/>
    <w:rsid w:val="00215F27"/>
    <w:rsid w:val="00226B6D"/>
    <w:rsid w:val="00230849"/>
    <w:rsid w:val="002360A1"/>
    <w:rsid w:val="002438C2"/>
    <w:rsid w:val="00244B28"/>
    <w:rsid w:val="00250684"/>
    <w:rsid w:val="002546C9"/>
    <w:rsid w:val="00264465"/>
    <w:rsid w:val="00266C1D"/>
    <w:rsid w:val="00271CEB"/>
    <w:rsid w:val="002733D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2D2D"/>
    <w:rsid w:val="003C4DB6"/>
    <w:rsid w:val="003E0CA8"/>
    <w:rsid w:val="003E3606"/>
    <w:rsid w:val="003E412E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979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38A3"/>
    <w:rsid w:val="00534FA3"/>
    <w:rsid w:val="005431A1"/>
    <w:rsid w:val="00543574"/>
    <w:rsid w:val="00544591"/>
    <w:rsid w:val="00545165"/>
    <w:rsid w:val="00552D91"/>
    <w:rsid w:val="00563526"/>
    <w:rsid w:val="00564247"/>
    <w:rsid w:val="0056519F"/>
    <w:rsid w:val="00565CAC"/>
    <w:rsid w:val="00567777"/>
    <w:rsid w:val="0058532A"/>
    <w:rsid w:val="005948C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4515"/>
    <w:rsid w:val="00670A2E"/>
    <w:rsid w:val="006711AF"/>
    <w:rsid w:val="00696768"/>
    <w:rsid w:val="006A0824"/>
    <w:rsid w:val="006A6416"/>
    <w:rsid w:val="006A6EEE"/>
    <w:rsid w:val="006B4ACE"/>
    <w:rsid w:val="006C0590"/>
    <w:rsid w:val="006C6361"/>
    <w:rsid w:val="006E150B"/>
    <w:rsid w:val="006E2284"/>
    <w:rsid w:val="006E26CE"/>
    <w:rsid w:val="006E36BE"/>
    <w:rsid w:val="006F1F06"/>
    <w:rsid w:val="006F4693"/>
    <w:rsid w:val="006F6F04"/>
    <w:rsid w:val="006F7652"/>
    <w:rsid w:val="00711248"/>
    <w:rsid w:val="00711E50"/>
    <w:rsid w:val="00713E4D"/>
    <w:rsid w:val="00714366"/>
    <w:rsid w:val="007178B5"/>
    <w:rsid w:val="00720134"/>
    <w:rsid w:val="00725BAA"/>
    <w:rsid w:val="0072744C"/>
    <w:rsid w:val="00735870"/>
    <w:rsid w:val="00737EE4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E4AD9"/>
    <w:rsid w:val="007F300B"/>
    <w:rsid w:val="007F6C98"/>
    <w:rsid w:val="00804B35"/>
    <w:rsid w:val="008115B9"/>
    <w:rsid w:val="00814CF5"/>
    <w:rsid w:val="008156C9"/>
    <w:rsid w:val="008264DD"/>
    <w:rsid w:val="00826806"/>
    <w:rsid w:val="00827FFA"/>
    <w:rsid w:val="0084012F"/>
    <w:rsid w:val="00850C4C"/>
    <w:rsid w:val="00862085"/>
    <w:rsid w:val="00862B1E"/>
    <w:rsid w:val="00864883"/>
    <w:rsid w:val="00870F6E"/>
    <w:rsid w:val="00871ED7"/>
    <w:rsid w:val="00873AF6"/>
    <w:rsid w:val="00873D5F"/>
    <w:rsid w:val="008754DE"/>
    <w:rsid w:val="00875637"/>
    <w:rsid w:val="008756B7"/>
    <w:rsid w:val="00884281"/>
    <w:rsid w:val="00886A39"/>
    <w:rsid w:val="008962BE"/>
    <w:rsid w:val="00897A17"/>
    <w:rsid w:val="008A1E5D"/>
    <w:rsid w:val="008B3A4D"/>
    <w:rsid w:val="008B5BFE"/>
    <w:rsid w:val="008C769F"/>
    <w:rsid w:val="008C79A0"/>
    <w:rsid w:val="008D4FB9"/>
    <w:rsid w:val="008D6F71"/>
    <w:rsid w:val="008E779E"/>
    <w:rsid w:val="008F1131"/>
    <w:rsid w:val="008F14A7"/>
    <w:rsid w:val="0090531D"/>
    <w:rsid w:val="00921785"/>
    <w:rsid w:val="0092199B"/>
    <w:rsid w:val="00924443"/>
    <w:rsid w:val="009256F4"/>
    <w:rsid w:val="009270D1"/>
    <w:rsid w:val="00930683"/>
    <w:rsid w:val="00936B8C"/>
    <w:rsid w:val="00946CF5"/>
    <w:rsid w:val="009502C1"/>
    <w:rsid w:val="00950686"/>
    <w:rsid w:val="00954FFC"/>
    <w:rsid w:val="009557DF"/>
    <w:rsid w:val="009718EC"/>
    <w:rsid w:val="0097269A"/>
    <w:rsid w:val="009A63A7"/>
    <w:rsid w:val="009B12C4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3429"/>
    <w:rsid w:val="00A242ED"/>
    <w:rsid w:val="00A24CA7"/>
    <w:rsid w:val="00A6365F"/>
    <w:rsid w:val="00A70ACB"/>
    <w:rsid w:val="00A7466A"/>
    <w:rsid w:val="00A80813"/>
    <w:rsid w:val="00A81FB2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B32B4"/>
    <w:rsid w:val="00AC0D56"/>
    <w:rsid w:val="00AC4230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071E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BF76F1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445EB"/>
    <w:rsid w:val="00C44E65"/>
    <w:rsid w:val="00C53F73"/>
    <w:rsid w:val="00C8077A"/>
    <w:rsid w:val="00C8438E"/>
    <w:rsid w:val="00C87A43"/>
    <w:rsid w:val="00C93AAA"/>
    <w:rsid w:val="00C964F4"/>
    <w:rsid w:val="00C96C06"/>
    <w:rsid w:val="00CA7A43"/>
    <w:rsid w:val="00CA7B73"/>
    <w:rsid w:val="00CB36C6"/>
    <w:rsid w:val="00CB6935"/>
    <w:rsid w:val="00CB6EBC"/>
    <w:rsid w:val="00CC0F7D"/>
    <w:rsid w:val="00CC1FB1"/>
    <w:rsid w:val="00CC50E5"/>
    <w:rsid w:val="00CC5D92"/>
    <w:rsid w:val="00CC7EF4"/>
    <w:rsid w:val="00CD2353"/>
    <w:rsid w:val="00CD476A"/>
    <w:rsid w:val="00CE2873"/>
    <w:rsid w:val="00CF0AD7"/>
    <w:rsid w:val="00CF14AD"/>
    <w:rsid w:val="00CF34B1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1DCA"/>
    <w:rsid w:val="00D436A8"/>
    <w:rsid w:val="00D50124"/>
    <w:rsid w:val="00D64399"/>
    <w:rsid w:val="00D74346"/>
    <w:rsid w:val="00D75039"/>
    <w:rsid w:val="00DA5A4E"/>
    <w:rsid w:val="00DA5DCC"/>
    <w:rsid w:val="00DB02C4"/>
    <w:rsid w:val="00DB34DC"/>
    <w:rsid w:val="00DC3D0F"/>
    <w:rsid w:val="00DC7895"/>
    <w:rsid w:val="00DD4AF5"/>
    <w:rsid w:val="00DD792A"/>
    <w:rsid w:val="00DE0FD7"/>
    <w:rsid w:val="00DE49C2"/>
    <w:rsid w:val="00DE4AA9"/>
    <w:rsid w:val="00DE5DD8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211EC"/>
    <w:rsid w:val="00E31C42"/>
    <w:rsid w:val="00E52104"/>
    <w:rsid w:val="00E52305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10</Pages>
  <Words>4318</Words>
  <Characters>23754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11</cp:revision>
  <cp:lastPrinted>2018-10-24T21:13:00Z</cp:lastPrinted>
  <dcterms:created xsi:type="dcterms:W3CDTF">2020-11-25T03:20:00Z</dcterms:created>
  <dcterms:modified xsi:type="dcterms:W3CDTF">2021-03-06T19:29:00Z</dcterms:modified>
</cp:coreProperties>
</file>