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652D3">
        <w:rPr>
          <w:rFonts w:ascii="Arial" w:hAnsi="Arial" w:cs="Arial"/>
          <w:sz w:val="22"/>
        </w:rPr>
        <w:t>alisco siendo las 13</w:t>
      </w:r>
      <w:r w:rsidR="001F7E84">
        <w:rPr>
          <w:rFonts w:ascii="Arial" w:hAnsi="Arial" w:cs="Arial"/>
          <w:sz w:val="22"/>
        </w:rPr>
        <w:t xml:space="preserve">  horas con 4</w:t>
      </w:r>
      <w:r w:rsidR="00BC750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C652D3">
        <w:rPr>
          <w:rFonts w:ascii="Arial" w:hAnsi="Arial" w:cs="Arial"/>
          <w:sz w:val="22"/>
        </w:rPr>
        <w:t xml:space="preserve"> 4 de Marzo</w:t>
      </w:r>
      <w:r w:rsidR="00D63F79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D63F79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>
              <w:rPr>
                <w:rFonts w:ascii="Arial" w:hAnsi="Arial" w:cs="Arial"/>
                <w:sz w:val="22"/>
              </w:rPr>
              <w:lastRenderedPageBreak/>
              <w:t>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EE1B4F">
              <w:rPr>
                <w:rFonts w:ascii="Arial" w:hAnsi="Arial" w:cs="Arial"/>
                <w:sz w:val="22"/>
              </w:rPr>
              <w:t>GERARDO XOCHIPA VALENCIA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C750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F0557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  <w:r w:rsidR="0027746A">
              <w:rPr>
                <w:rFonts w:ascii="Arial" w:hAnsi="Arial" w:cs="Arial"/>
                <w:sz w:val="22"/>
              </w:rPr>
              <w:t>.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F7E8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E1B4F" w:rsidRDefault="00EE1B4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2F575D">
        <w:rPr>
          <w:rFonts w:ascii="Arial" w:hAnsi="Arial" w:cs="Arial"/>
          <w:sz w:val="22"/>
        </w:rPr>
        <w:t xml:space="preserve"> circulado, es aprobado por 9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lastRenderedPageBreak/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D63F79" w:rsidRPr="002F575D" w:rsidRDefault="002F575D" w:rsidP="001F7E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En uso de la voz se presenta el </w:t>
      </w:r>
      <w:r w:rsidR="00FC3157">
        <w:rPr>
          <w:rFonts w:ascii="Arial" w:hAnsi="Arial" w:cs="Arial"/>
          <w:sz w:val="22"/>
        </w:rPr>
        <w:t>informe</w:t>
      </w:r>
      <w:r>
        <w:rPr>
          <w:rFonts w:ascii="Arial" w:hAnsi="Arial" w:cs="Arial"/>
          <w:sz w:val="22"/>
        </w:rPr>
        <w:t xml:space="preserve"> financiero de ingresos que en relación al periodo del mes de enero 2020 al 04 de febrero por concepto de licencias en comercio fijo y otros </w:t>
      </w:r>
      <w:r w:rsidR="00FC3157">
        <w:rPr>
          <w:rFonts w:ascii="Arial" w:hAnsi="Arial" w:cs="Arial"/>
          <w:sz w:val="22"/>
        </w:rPr>
        <w:t>trámites</w:t>
      </w:r>
      <w:r>
        <w:rPr>
          <w:rFonts w:ascii="Arial" w:hAnsi="Arial" w:cs="Arial"/>
          <w:sz w:val="22"/>
        </w:rPr>
        <w:t xml:space="preserve"> que tiene que ver con la </w:t>
      </w:r>
      <w:r w:rsidR="00FC3157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en mención por un monto total acumulado de </w:t>
      </w:r>
      <w:r w:rsidRPr="002F575D">
        <w:rPr>
          <w:rFonts w:ascii="Arial" w:hAnsi="Arial" w:cs="Arial"/>
          <w:b/>
          <w:sz w:val="22"/>
        </w:rPr>
        <w:t>$1</w:t>
      </w:r>
      <w:r w:rsidR="00FC3157" w:rsidRPr="002F575D">
        <w:rPr>
          <w:rFonts w:ascii="Arial" w:hAnsi="Arial" w:cs="Arial"/>
          <w:b/>
          <w:sz w:val="22"/>
        </w:rPr>
        <w:t>, 869,908.09</w:t>
      </w:r>
      <w:r>
        <w:rPr>
          <w:rFonts w:ascii="Arial" w:hAnsi="Arial" w:cs="Arial"/>
          <w:sz w:val="22"/>
        </w:rPr>
        <w:t xml:space="preserve"> un millón ochocientos sesenta y nueve mil </w:t>
      </w:r>
      <w:r w:rsidR="00FC3157">
        <w:rPr>
          <w:rFonts w:ascii="Arial" w:hAnsi="Arial" w:cs="Arial"/>
          <w:sz w:val="22"/>
        </w:rPr>
        <w:t>novecientos</w:t>
      </w:r>
      <w:r>
        <w:rPr>
          <w:rFonts w:ascii="Arial" w:hAnsi="Arial" w:cs="Arial"/>
          <w:sz w:val="22"/>
        </w:rPr>
        <w:t xml:space="preserve"> ocho pesos.</w:t>
      </w:r>
    </w:p>
    <w:p w:rsidR="002F575D" w:rsidRPr="002F575D" w:rsidRDefault="002F575D" w:rsidP="00E674BD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</w:p>
    <w:p w:rsidR="002F575D" w:rsidRPr="002F575D" w:rsidRDefault="002F575D" w:rsidP="001F7E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>Se comenta sobre el trabajo en operativos Preventivos y de Requerimientos que en este momento se encuentra en activo dando un total de:</w:t>
      </w:r>
    </w:p>
    <w:p w:rsidR="002F575D" w:rsidRDefault="00F55184" w:rsidP="002F575D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18</w:t>
      </w:r>
      <w:r w:rsidR="002F575D">
        <w:rPr>
          <w:rFonts w:ascii="Arial" w:hAnsi="Arial" w:cs="Arial"/>
          <w:sz w:val="22"/>
          <w:lang w:val="es-MX"/>
        </w:rPr>
        <w:t xml:space="preserve">5   requerimientos a establecimientos con licencia que presentan adeudo en el pago de sus </w:t>
      </w:r>
      <w:r w:rsidR="00FC3157">
        <w:rPr>
          <w:rFonts w:ascii="Arial" w:hAnsi="Arial" w:cs="Arial"/>
          <w:sz w:val="22"/>
          <w:lang w:val="es-MX"/>
        </w:rPr>
        <w:t>contribuciones</w:t>
      </w:r>
      <w:r w:rsidR="002F575D">
        <w:rPr>
          <w:rFonts w:ascii="Arial" w:hAnsi="Arial" w:cs="Arial"/>
          <w:sz w:val="22"/>
          <w:lang w:val="es-MX"/>
        </w:rPr>
        <w:t xml:space="preserve"> p</w:t>
      </w:r>
      <w:r>
        <w:rPr>
          <w:rFonts w:ascii="Arial" w:hAnsi="Arial" w:cs="Arial"/>
          <w:sz w:val="22"/>
          <w:lang w:val="es-MX"/>
        </w:rPr>
        <w:t>or actualización de la licencia, esto en las colonias conocidas como Halcones 14, Santa Cecilia 44, Ayuntamiento 47</w:t>
      </w:r>
      <w:r w:rsidR="00E674BD">
        <w:rPr>
          <w:rFonts w:ascii="Arial" w:hAnsi="Arial" w:cs="Arial"/>
          <w:sz w:val="22"/>
          <w:lang w:val="es-MX"/>
        </w:rPr>
        <w:t>, La Calera 14, Lomas Verdes 37, Santa Lucia 29. Esto como parte del Plan de Trabajo 2020, y con un firme objetivo de lograr la regularización total de los comercios.</w:t>
      </w:r>
    </w:p>
    <w:p w:rsidR="002F575D" w:rsidRPr="002F575D" w:rsidRDefault="00E674BD" w:rsidP="002F575D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s-MX"/>
        </w:rPr>
        <w:t>91</w:t>
      </w:r>
      <w:r w:rsidR="002F575D">
        <w:rPr>
          <w:rFonts w:ascii="Arial" w:hAnsi="Arial" w:cs="Arial"/>
          <w:sz w:val="22"/>
          <w:lang w:val="es-MX"/>
        </w:rPr>
        <w:t xml:space="preserve"> notificaciones a establecimientos a efecto de que funcionan sin contar con licencia comercial, exhortando a su regularización, una vez que esta sea revisada por la </w:t>
      </w:r>
      <w:r w:rsidR="00FC3157">
        <w:rPr>
          <w:rFonts w:ascii="Arial" w:hAnsi="Arial" w:cs="Arial"/>
          <w:sz w:val="22"/>
          <w:lang w:val="es-MX"/>
        </w:rPr>
        <w:t>comisión</w:t>
      </w:r>
      <w:r w:rsidR="002F575D">
        <w:rPr>
          <w:rFonts w:ascii="Arial" w:hAnsi="Arial" w:cs="Arial"/>
          <w:sz w:val="22"/>
          <w:lang w:val="es-MX"/>
        </w:rPr>
        <w:t xml:space="preserve"> y se denote su viabilidad.</w:t>
      </w:r>
      <w:r w:rsidR="002F575D" w:rsidRPr="002F575D">
        <w:rPr>
          <w:rFonts w:ascii="Arial" w:hAnsi="Arial" w:cs="Arial"/>
          <w:sz w:val="22"/>
        </w:rPr>
        <w:t xml:space="preserve"> </w:t>
      </w:r>
    </w:p>
    <w:p w:rsidR="002F575D" w:rsidRDefault="00E674BD" w:rsidP="002F575D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Además de apoyar con la labor de limpieza de publicidad obsoleta como parte del operativo de mejorar la imagen urbana.</w:t>
      </w:r>
    </w:p>
    <w:p w:rsidR="00E674BD" w:rsidRDefault="00E674BD" w:rsidP="002F575D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En el periodo de las fiestas de la Candelaria 2020, se atendieron varios reportes, y se estuvo al pendiente de los visitantes para favorecer su </w:t>
      </w:r>
      <w:r w:rsidR="00FC3157">
        <w:rPr>
          <w:rFonts w:ascii="Arial" w:hAnsi="Arial" w:cs="Arial"/>
          <w:sz w:val="22"/>
          <w:lang w:val="es-MX"/>
        </w:rPr>
        <w:t>estadía</w:t>
      </w:r>
      <w:r>
        <w:rPr>
          <w:rFonts w:ascii="Arial" w:hAnsi="Arial" w:cs="Arial"/>
          <w:sz w:val="22"/>
          <w:lang w:val="es-MX"/>
        </w:rPr>
        <w:t>.</w:t>
      </w:r>
    </w:p>
    <w:p w:rsidR="00E674BD" w:rsidRDefault="00E674BD" w:rsidP="002F575D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</w:p>
    <w:p w:rsidR="00E674BD" w:rsidRPr="00E674BD" w:rsidRDefault="00E674BD" w:rsidP="00E674B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Como reporte administrativo se presenta la siguiente información:</w:t>
      </w:r>
    </w:p>
    <w:p w:rsidR="00E674BD" w:rsidRDefault="00E674BD" w:rsidP="00E674BD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</w:p>
    <w:p w:rsidR="00E674BD" w:rsidRPr="002F575D" w:rsidRDefault="00E674BD" w:rsidP="00E674BD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Giros nuevos  45, anexos 2, cambios de domicilio 1, traspasos 4, bajas 27, solicitudes con pendientes 10, solicitudes de transparencia 1, reportes atendidos 18.</w:t>
      </w:r>
    </w:p>
    <w:p w:rsidR="00A93F63" w:rsidRDefault="00A93F63" w:rsidP="007400EF">
      <w:pPr>
        <w:jc w:val="both"/>
        <w:rPr>
          <w:rFonts w:ascii="Arial" w:hAnsi="Arial" w:cs="Arial"/>
          <w:b/>
          <w:sz w:val="22"/>
        </w:rPr>
      </w:pPr>
    </w:p>
    <w:p w:rsidR="001F7E84" w:rsidRDefault="00E674BD" w:rsidP="007400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890E25" w:rsidRPr="00890E25" w:rsidRDefault="001F7E84" w:rsidP="001F7E8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Sin asuntos que tratar</w:t>
      </w:r>
    </w:p>
    <w:p w:rsidR="00C870C3" w:rsidRPr="007400EF" w:rsidRDefault="001F7E84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1A6B97" w:rsidRPr="001A6B97" w:rsidRDefault="001A6B97" w:rsidP="001A6B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 w:rsidRPr="00E00B64">
        <w:rPr>
          <w:rFonts w:ascii="Arial" w:hAnsi="Arial" w:cs="Arial"/>
          <w:sz w:val="22"/>
        </w:rPr>
        <w:t xml:space="preserve">En uso de la voz </w:t>
      </w:r>
      <w:r>
        <w:rPr>
          <w:rFonts w:ascii="Arial" w:hAnsi="Arial" w:cs="Arial"/>
          <w:sz w:val="22"/>
        </w:rPr>
        <w:t>el Director de Comercio, presenta su informe financiero en relación a los ingresos al periodo de enero 2020 a la fecha, teniendo como ingresos totales la cantidad de $1</w:t>
      </w:r>
      <w:r w:rsidR="00FC3157">
        <w:rPr>
          <w:rFonts w:ascii="Arial" w:hAnsi="Arial" w:cs="Arial"/>
          <w:sz w:val="22"/>
        </w:rPr>
        <w:t>, 548,148.00</w:t>
      </w:r>
      <w:r>
        <w:rPr>
          <w:rFonts w:ascii="Arial" w:hAnsi="Arial" w:cs="Arial"/>
          <w:sz w:val="22"/>
        </w:rPr>
        <w:t xml:space="preserve"> pesos.</w:t>
      </w:r>
    </w:p>
    <w:p w:rsidR="001A6B97" w:rsidRPr="00CD6E7C" w:rsidRDefault="001A6B97" w:rsidP="001A6B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Se comenta sobre las pasadas fiestas de candelaria 2020 se </w:t>
      </w:r>
      <w:r w:rsidR="00FC3157">
        <w:rPr>
          <w:rFonts w:ascii="Arial" w:hAnsi="Arial" w:cs="Arial"/>
          <w:sz w:val="22"/>
        </w:rPr>
        <w:t>generó</w:t>
      </w:r>
      <w:r>
        <w:rPr>
          <w:rFonts w:ascii="Arial" w:hAnsi="Arial" w:cs="Arial"/>
          <w:sz w:val="22"/>
        </w:rPr>
        <w:t xml:space="preserve"> coordinación con</w:t>
      </w:r>
      <w:r w:rsidR="004C7763">
        <w:rPr>
          <w:rFonts w:ascii="Arial" w:hAnsi="Arial" w:cs="Arial"/>
          <w:sz w:val="22"/>
        </w:rPr>
        <w:t xml:space="preserve"> C5, SEDENA, GUARDIA NACIONAL, a efecto de dar seguimiento al delito de robo de carteras, a lo que se destaca que este año no se </w:t>
      </w:r>
      <w:r w:rsidR="00FC3157">
        <w:rPr>
          <w:rFonts w:ascii="Arial" w:hAnsi="Arial" w:cs="Arial"/>
          <w:sz w:val="22"/>
        </w:rPr>
        <w:t>reportó</w:t>
      </w:r>
      <w:r w:rsidR="004C7763">
        <w:rPr>
          <w:rFonts w:ascii="Arial" w:hAnsi="Arial" w:cs="Arial"/>
          <w:sz w:val="22"/>
        </w:rPr>
        <w:t xml:space="preserve"> ningún robo, dejando un </w:t>
      </w:r>
      <w:r w:rsidR="00FC3157">
        <w:rPr>
          <w:rFonts w:ascii="Arial" w:hAnsi="Arial" w:cs="Arial"/>
          <w:sz w:val="22"/>
        </w:rPr>
        <w:t>precedente</w:t>
      </w:r>
      <w:r w:rsidR="004C7763">
        <w:rPr>
          <w:rFonts w:ascii="Arial" w:hAnsi="Arial" w:cs="Arial"/>
          <w:sz w:val="22"/>
        </w:rPr>
        <w:t xml:space="preserve"> de FIESTAS SEGURAS.</w:t>
      </w:r>
      <w:r>
        <w:rPr>
          <w:rFonts w:ascii="Arial" w:hAnsi="Arial" w:cs="Arial"/>
          <w:sz w:val="22"/>
        </w:rPr>
        <w:t xml:space="preserve"> </w:t>
      </w:r>
    </w:p>
    <w:p w:rsidR="001A6B97" w:rsidRPr="004C7763" w:rsidRDefault="004C7763" w:rsidP="001A6B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Se expone una </w:t>
      </w:r>
      <w:r w:rsidR="00FC3157">
        <w:rPr>
          <w:rFonts w:ascii="Arial" w:hAnsi="Arial" w:cs="Arial"/>
          <w:sz w:val="22"/>
        </w:rPr>
        <w:t>situación</w:t>
      </w:r>
      <w:r>
        <w:rPr>
          <w:rFonts w:ascii="Arial" w:hAnsi="Arial" w:cs="Arial"/>
          <w:sz w:val="22"/>
        </w:rPr>
        <w:t xml:space="preserve"> al respecto de los horarios de trabajo de los fotógrafos en la </w:t>
      </w:r>
      <w:r w:rsidR="00FC3157">
        <w:rPr>
          <w:rFonts w:ascii="Arial" w:hAnsi="Arial" w:cs="Arial"/>
          <w:sz w:val="22"/>
        </w:rPr>
        <w:t>vía</w:t>
      </w:r>
      <w:r>
        <w:rPr>
          <w:rFonts w:ascii="Arial" w:hAnsi="Arial" w:cs="Arial"/>
          <w:sz w:val="22"/>
        </w:rPr>
        <w:t xml:space="preserve"> publica, a lo que se comenta que se pueden generar varias soluciones para evitar conflictos con estos prestadores de servicio, a lo que La C. SINDICO MUNICIPAL, refiere a que en conjunto con la </w:t>
      </w:r>
      <w:r w:rsidR="00FC3157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de Comercio darán seguimiento a esta </w:t>
      </w:r>
      <w:r w:rsidR="00FC3157">
        <w:rPr>
          <w:rFonts w:ascii="Arial" w:hAnsi="Arial" w:cs="Arial"/>
          <w:sz w:val="22"/>
        </w:rPr>
        <w:t>situación</w:t>
      </w:r>
      <w:r>
        <w:rPr>
          <w:rFonts w:ascii="Arial" w:hAnsi="Arial" w:cs="Arial"/>
          <w:sz w:val="22"/>
        </w:rPr>
        <w:t xml:space="preserve">. </w:t>
      </w:r>
    </w:p>
    <w:p w:rsidR="004C7763" w:rsidRPr="004C7763" w:rsidRDefault="004C7763" w:rsidP="001A6B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lastRenderedPageBreak/>
        <w:t xml:space="preserve">Se </w:t>
      </w:r>
      <w:r w:rsidR="00FC3157">
        <w:rPr>
          <w:rFonts w:ascii="Arial" w:hAnsi="Arial" w:cs="Arial"/>
          <w:sz w:val="22"/>
        </w:rPr>
        <w:t>ha</w:t>
      </w:r>
      <w:r>
        <w:rPr>
          <w:rFonts w:ascii="Arial" w:hAnsi="Arial" w:cs="Arial"/>
          <w:sz w:val="22"/>
        </w:rPr>
        <w:t xml:space="preserve"> dado apoyo constante para generar coordinación con la Casa de la Cultura en cuanto a poder quinar los comercios para que se puedan realizar actividades relacionadas con esta.</w:t>
      </w:r>
    </w:p>
    <w:p w:rsidR="004C7763" w:rsidRPr="00CD6E7C" w:rsidRDefault="004C7763" w:rsidP="001A6B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Se comenta que las próximas Festividades tal como lo es la Semana Santa y de Pascua, ya se </w:t>
      </w:r>
      <w:r w:rsidR="00FC3157">
        <w:rPr>
          <w:rFonts w:ascii="Arial" w:hAnsi="Arial" w:cs="Arial"/>
          <w:sz w:val="22"/>
          <w:lang w:val="es-MX"/>
        </w:rPr>
        <w:t>está</w:t>
      </w:r>
      <w:r>
        <w:rPr>
          <w:rFonts w:ascii="Arial" w:hAnsi="Arial" w:cs="Arial"/>
          <w:sz w:val="22"/>
          <w:lang w:val="es-MX"/>
        </w:rPr>
        <w:t xml:space="preserve"> trabajando para tener la coordinación con la </w:t>
      </w:r>
      <w:r w:rsidR="00FC3157">
        <w:rPr>
          <w:rFonts w:ascii="Arial" w:hAnsi="Arial" w:cs="Arial"/>
          <w:sz w:val="22"/>
          <w:lang w:val="es-MX"/>
        </w:rPr>
        <w:t>Dirección</w:t>
      </w:r>
      <w:r>
        <w:rPr>
          <w:rFonts w:ascii="Arial" w:hAnsi="Arial" w:cs="Arial"/>
          <w:sz w:val="22"/>
          <w:lang w:val="es-MX"/>
        </w:rPr>
        <w:t xml:space="preserve"> de </w:t>
      </w:r>
      <w:r w:rsidR="00FC3157">
        <w:rPr>
          <w:rFonts w:ascii="Arial" w:hAnsi="Arial" w:cs="Arial"/>
          <w:sz w:val="22"/>
          <w:lang w:val="es-MX"/>
        </w:rPr>
        <w:t>Protección</w:t>
      </w:r>
      <w:r>
        <w:rPr>
          <w:rFonts w:ascii="Arial" w:hAnsi="Arial" w:cs="Arial"/>
          <w:sz w:val="22"/>
          <w:lang w:val="es-MX"/>
        </w:rPr>
        <w:t xml:space="preserve"> Civil del Municipio a fin de cubrir las acciones de los </w:t>
      </w:r>
      <w:r w:rsidR="00FC3157">
        <w:rPr>
          <w:rFonts w:ascii="Arial" w:hAnsi="Arial" w:cs="Arial"/>
          <w:sz w:val="22"/>
          <w:lang w:val="es-MX"/>
        </w:rPr>
        <w:t>Policías</w:t>
      </w:r>
      <w:r>
        <w:rPr>
          <w:rFonts w:ascii="Arial" w:hAnsi="Arial" w:cs="Arial"/>
          <w:sz w:val="22"/>
          <w:lang w:val="es-MX"/>
        </w:rPr>
        <w:t xml:space="preserve"> </w:t>
      </w:r>
      <w:r w:rsidR="00FC3157">
        <w:rPr>
          <w:rFonts w:ascii="Arial" w:hAnsi="Arial" w:cs="Arial"/>
          <w:sz w:val="22"/>
          <w:lang w:val="es-MX"/>
        </w:rPr>
        <w:t>Turísticos</w:t>
      </w:r>
      <w:r>
        <w:rPr>
          <w:rFonts w:ascii="Arial" w:hAnsi="Arial" w:cs="Arial"/>
          <w:sz w:val="22"/>
          <w:lang w:val="es-MX"/>
        </w:rPr>
        <w:t xml:space="preserve"> esto a través del voluntariado.</w:t>
      </w:r>
    </w:p>
    <w:p w:rsidR="001A6B97" w:rsidRPr="004C7763" w:rsidRDefault="001A6B97" w:rsidP="004C7763">
      <w:pPr>
        <w:jc w:val="both"/>
        <w:rPr>
          <w:rFonts w:ascii="Arial" w:hAnsi="Arial" w:cs="Arial"/>
          <w:b/>
          <w:sz w:val="22"/>
        </w:rPr>
      </w:pPr>
    </w:p>
    <w:p w:rsidR="00E740FF" w:rsidRDefault="004C7763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1F7E84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asuntos que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1F7E84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935658" w:rsidRPr="00792C48" w:rsidTr="000764C8">
        <w:tc>
          <w:tcPr>
            <w:tcW w:w="1668" w:type="dxa"/>
          </w:tcPr>
          <w:p w:rsidR="00935658" w:rsidRPr="00792C48" w:rsidRDefault="00CD6E7C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935658" w:rsidRPr="00792C48" w:rsidRDefault="003064D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935658" w:rsidRPr="00792C48" w:rsidRDefault="0093565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935658" w:rsidRPr="00792C48" w:rsidTr="000764C8">
        <w:tc>
          <w:tcPr>
            <w:tcW w:w="1668" w:type="dxa"/>
          </w:tcPr>
          <w:p w:rsidR="00935658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IRENE GONZALEZ TEJEDA</w:t>
            </w:r>
          </w:p>
        </w:tc>
        <w:tc>
          <w:tcPr>
            <w:tcW w:w="1417" w:type="dxa"/>
          </w:tcPr>
          <w:p w:rsidR="00935658" w:rsidRDefault="00FC3157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Lonchería</w:t>
            </w:r>
            <w:r w:rsidR="004C7763">
              <w:rPr>
                <w:rFonts w:ascii="Arial" w:hAnsi="Arial" w:cs="Arial"/>
                <w:b/>
                <w:sz w:val="16"/>
                <w:szCs w:val="16"/>
              </w:rPr>
              <w:t xml:space="preserve"> fonda venta de Cerveza bote abierto (anexo a alimentos)</w:t>
            </w:r>
          </w:p>
          <w:p w:rsidR="004C7763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Giro nuevo</w:t>
            </w:r>
          </w:p>
        </w:tc>
        <w:tc>
          <w:tcPr>
            <w:tcW w:w="3686" w:type="dxa"/>
          </w:tcPr>
          <w:p w:rsidR="00824804" w:rsidRDefault="004C7763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Segovia 81</w:t>
            </w:r>
          </w:p>
          <w:p w:rsidR="004C7763" w:rsidRPr="00792C48" w:rsidRDefault="004C7763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 centro</w:t>
            </w:r>
          </w:p>
        </w:tc>
        <w:tc>
          <w:tcPr>
            <w:tcW w:w="2284" w:type="dxa"/>
          </w:tcPr>
          <w:p w:rsidR="00935658" w:rsidRPr="00792C48" w:rsidRDefault="00755A55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AUTORIZA. Por mayoría de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 xml:space="preserve"> votos. Firmar carta compromiso e informar sobre inspección de Protección Civil Municipal</w:t>
            </w:r>
          </w:p>
        </w:tc>
      </w:tr>
      <w:tr w:rsidR="004C7763" w:rsidRPr="00792C48" w:rsidTr="000764C8">
        <w:tc>
          <w:tcPr>
            <w:tcW w:w="1668" w:type="dxa"/>
          </w:tcPr>
          <w:p w:rsidR="004C7763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KARINA ELIZABETH ESQUEDA GUTIERREZ</w:t>
            </w:r>
          </w:p>
        </w:tc>
        <w:tc>
          <w:tcPr>
            <w:tcW w:w="1417" w:type="dxa"/>
          </w:tcPr>
          <w:p w:rsidR="004C7763" w:rsidRDefault="00FC3157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Lonchería</w:t>
            </w:r>
            <w:r w:rsidR="004C7763">
              <w:rPr>
                <w:rFonts w:ascii="Arial" w:hAnsi="Arial" w:cs="Arial"/>
                <w:b/>
                <w:sz w:val="16"/>
                <w:szCs w:val="16"/>
              </w:rPr>
              <w:t xml:space="preserve"> fonda venta de Cerveza bote abierto (anexo a alimentos)</w:t>
            </w:r>
          </w:p>
          <w:p w:rsidR="004C7763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Giro nuevo</w:t>
            </w:r>
          </w:p>
        </w:tc>
        <w:tc>
          <w:tcPr>
            <w:tcW w:w="3686" w:type="dxa"/>
          </w:tcPr>
          <w:p w:rsidR="004C7763" w:rsidRDefault="004C7763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Benigno Romo 222-B</w:t>
            </w:r>
          </w:p>
          <w:p w:rsidR="004C7763" w:rsidRPr="00792C48" w:rsidRDefault="004C7763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FC3157">
              <w:rPr>
                <w:rFonts w:ascii="Arial" w:hAnsi="Arial" w:cs="Arial"/>
                <w:sz w:val="16"/>
                <w:szCs w:val="16"/>
              </w:rPr>
              <w:t>Martinica</w:t>
            </w:r>
          </w:p>
        </w:tc>
        <w:tc>
          <w:tcPr>
            <w:tcW w:w="2284" w:type="dxa"/>
          </w:tcPr>
          <w:p w:rsidR="004C7763" w:rsidRPr="00792C48" w:rsidRDefault="00755A55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AUTORIZA. Por mayoría de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 xml:space="preserve"> votos. Firmar carta compromiso e informar sobre inspección de Protección Civil Municipal</w:t>
            </w:r>
          </w:p>
        </w:tc>
      </w:tr>
      <w:tr w:rsidR="004C7763" w:rsidRPr="00792C48" w:rsidTr="000764C8">
        <w:tc>
          <w:tcPr>
            <w:tcW w:w="1668" w:type="dxa"/>
          </w:tcPr>
          <w:p w:rsidR="004C7763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JUAN RAMON MARTINEZ JIMENEZ</w:t>
            </w:r>
          </w:p>
        </w:tc>
        <w:tc>
          <w:tcPr>
            <w:tcW w:w="1417" w:type="dxa"/>
          </w:tcPr>
          <w:p w:rsidR="004C7763" w:rsidRPr="00792C48" w:rsidRDefault="00FC3157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Lonchería</w:t>
            </w:r>
            <w:r w:rsidR="004C7763">
              <w:rPr>
                <w:rFonts w:ascii="Arial" w:hAnsi="Arial" w:cs="Arial"/>
                <w:b/>
                <w:sz w:val="16"/>
                <w:szCs w:val="16"/>
              </w:rPr>
              <w:t xml:space="preserve"> fonda venta de Cerveza bote abierto (anexo a alimentos) giro nuevo</w:t>
            </w:r>
          </w:p>
        </w:tc>
        <w:tc>
          <w:tcPr>
            <w:tcW w:w="3686" w:type="dxa"/>
          </w:tcPr>
          <w:p w:rsidR="004C7763" w:rsidRDefault="004C7763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Conchos 148</w:t>
            </w:r>
          </w:p>
          <w:p w:rsidR="004C7763" w:rsidRPr="00792C48" w:rsidRDefault="004C7763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el Plan</w:t>
            </w:r>
          </w:p>
        </w:tc>
        <w:tc>
          <w:tcPr>
            <w:tcW w:w="2284" w:type="dxa"/>
          </w:tcPr>
          <w:p w:rsidR="004C7763" w:rsidRPr="00792C48" w:rsidRDefault="00755A55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AUTORIZA. Por mayoría de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 xml:space="preserve"> votos. Firmar carta compromiso e informar sobre inspección de Protección Civil Municipal</w:t>
            </w:r>
          </w:p>
        </w:tc>
      </w:tr>
      <w:tr w:rsidR="004C7763" w:rsidRPr="00792C48" w:rsidTr="000764C8">
        <w:tc>
          <w:tcPr>
            <w:tcW w:w="1668" w:type="dxa"/>
          </w:tcPr>
          <w:p w:rsidR="004C7763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FARMACIAS GUADALAJARA</w:t>
            </w:r>
          </w:p>
        </w:tc>
        <w:tc>
          <w:tcPr>
            <w:tcW w:w="1417" w:type="dxa"/>
          </w:tcPr>
          <w:p w:rsidR="004C7763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Supermercado con venta de bebidas </w:t>
            </w:r>
            <w:r w:rsidR="00FC3157">
              <w:rPr>
                <w:rFonts w:ascii="Arial" w:hAnsi="Arial" w:cs="Arial"/>
                <w:b/>
                <w:sz w:val="16"/>
                <w:szCs w:val="16"/>
              </w:rPr>
              <w:t>alcohólicas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envase cerrado.</w:t>
            </w:r>
          </w:p>
          <w:p w:rsidR="004C7763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Giro nuevo</w:t>
            </w:r>
          </w:p>
        </w:tc>
        <w:tc>
          <w:tcPr>
            <w:tcW w:w="3686" w:type="dxa"/>
          </w:tcPr>
          <w:p w:rsidR="004C7763" w:rsidRDefault="00755A55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Moreno Valley 189</w:t>
            </w:r>
          </w:p>
          <w:p w:rsidR="00755A55" w:rsidRPr="00792C48" w:rsidRDefault="00755A55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 Centro</w:t>
            </w:r>
          </w:p>
        </w:tc>
        <w:tc>
          <w:tcPr>
            <w:tcW w:w="2284" w:type="dxa"/>
          </w:tcPr>
          <w:p w:rsidR="004C7763" w:rsidRPr="00792C48" w:rsidRDefault="00755A55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AUTORIZA. Por mayoría de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 xml:space="preserve"> votos. Firmar carta compromiso e informar sobre inspección de Protección Civil Municipal</w:t>
            </w:r>
          </w:p>
        </w:tc>
      </w:tr>
      <w:tr w:rsidR="004C7763" w:rsidRPr="00792C48" w:rsidTr="000764C8">
        <w:tc>
          <w:tcPr>
            <w:tcW w:w="1668" w:type="dxa"/>
          </w:tcPr>
          <w:p w:rsidR="004C7763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OPERADORA MANCIPAD S.A. DE C.V.</w:t>
            </w:r>
          </w:p>
        </w:tc>
        <w:tc>
          <w:tcPr>
            <w:tcW w:w="1417" w:type="dxa"/>
          </w:tcPr>
          <w:p w:rsidR="004C7763" w:rsidRDefault="00FC3157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Vinatería</w:t>
            </w:r>
          </w:p>
          <w:p w:rsidR="004C7763" w:rsidRPr="00792C48" w:rsidRDefault="004C77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Cambio de domicilio.</w:t>
            </w:r>
          </w:p>
        </w:tc>
        <w:tc>
          <w:tcPr>
            <w:tcW w:w="3686" w:type="dxa"/>
          </w:tcPr>
          <w:p w:rsidR="004C7763" w:rsidRPr="00792C48" w:rsidRDefault="00FC3157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Malecón</w:t>
            </w:r>
            <w:r w:rsidR="00755A55">
              <w:rPr>
                <w:rFonts w:ascii="Arial" w:hAnsi="Arial" w:cs="Arial"/>
                <w:sz w:val="16"/>
                <w:szCs w:val="16"/>
              </w:rPr>
              <w:t xml:space="preserve"> Margen Derecho 174</w:t>
            </w:r>
          </w:p>
        </w:tc>
        <w:tc>
          <w:tcPr>
            <w:tcW w:w="2284" w:type="dxa"/>
          </w:tcPr>
          <w:p w:rsidR="004C7763" w:rsidRPr="00792C48" w:rsidRDefault="00755A55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AUTORIZA. Por mayoría de</w:t>
            </w:r>
            <w:r w:rsidRPr="00792C48">
              <w:rPr>
                <w:rFonts w:ascii="Arial" w:hAnsi="Arial" w:cs="Arial"/>
                <w:b/>
                <w:sz w:val="16"/>
                <w:szCs w:val="16"/>
              </w:rPr>
              <w:t xml:space="preserve"> votos. Firmar carta compromiso e informar sobre inspección de Protección Civil Municipal</w:t>
            </w:r>
          </w:p>
        </w:tc>
      </w:tr>
    </w:tbl>
    <w:p w:rsidR="00545EDA" w:rsidRDefault="005D5A4B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Ninguno.- </w:t>
      </w:r>
    </w:p>
    <w:p w:rsidR="005D5A4B" w:rsidRDefault="005D5A4B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BC750A" w:rsidRDefault="00BC750A" w:rsidP="00BC7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presenta ante el pleno de la </w:t>
      </w:r>
      <w:r w:rsidR="005D5A4B">
        <w:rPr>
          <w:rFonts w:ascii="Arial" w:hAnsi="Arial" w:cs="Arial"/>
          <w:sz w:val="22"/>
          <w:szCs w:val="22"/>
        </w:rPr>
        <w:t xml:space="preserve">comisión un total de </w:t>
      </w:r>
      <w:r w:rsidR="00163D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puntos generale</w:t>
      </w:r>
      <w:r w:rsidR="00D05EF4">
        <w:rPr>
          <w:rFonts w:ascii="Arial" w:hAnsi="Arial" w:cs="Arial"/>
          <w:sz w:val="22"/>
          <w:szCs w:val="22"/>
        </w:rPr>
        <w:t>s, los cuales se aprueban por 9</w:t>
      </w:r>
      <w:r>
        <w:rPr>
          <w:rFonts w:ascii="Arial" w:hAnsi="Arial" w:cs="Arial"/>
          <w:sz w:val="22"/>
          <w:szCs w:val="22"/>
        </w:rPr>
        <w:t xml:space="preserve"> votos a favor con mayoría relativa.</w:t>
      </w:r>
    </w:p>
    <w:p w:rsidR="00BC750A" w:rsidRDefault="00BC750A" w:rsidP="00BC750A">
      <w:pPr>
        <w:rPr>
          <w:rFonts w:ascii="Arial" w:hAnsi="Arial" w:cs="Arial"/>
          <w:sz w:val="22"/>
        </w:rPr>
      </w:pPr>
    </w:p>
    <w:p w:rsidR="00D05EF4" w:rsidRPr="00FC3157" w:rsidRDefault="00163D19" w:rsidP="00FC315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1</w:t>
      </w:r>
      <w:r w:rsidR="00BC750A">
        <w:rPr>
          <w:rFonts w:ascii="Arial" w:hAnsi="Arial" w:cs="Arial"/>
          <w:sz w:val="22"/>
        </w:rPr>
        <w:t xml:space="preserve">.- </w:t>
      </w:r>
      <w:r w:rsidR="00D05EF4">
        <w:rPr>
          <w:rFonts w:ascii="Arial" w:hAnsi="Arial" w:cs="Arial"/>
          <w:sz w:val="22"/>
        </w:rPr>
        <w:t xml:space="preserve"> Se determina para efecto de dar seguimiento con el asunto al respecto de la regularización de los estacionamientos y la generación de la comisión de tarifa para establecer los montos de pago </w:t>
      </w:r>
      <w:r w:rsidR="00D05EF4" w:rsidRPr="00D05EF4">
        <w:rPr>
          <w:rFonts w:ascii="Arial" w:hAnsi="Arial" w:cs="Arial"/>
          <w:sz w:val="22"/>
          <w:szCs w:val="22"/>
        </w:rPr>
        <w:t>por este servicio, se determina por el pleno de esta comisión la generación de una COMISION ESPECIAL PARA ASUNTOS DE ES</w:t>
      </w:r>
      <w:r w:rsidR="00D05EF4">
        <w:rPr>
          <w:rFonts w:ascii="Arial" w:hAnsi="Arial" w:cs="Arial"/>
          <w:sz w:val="22"/>
          <w:szCs w:val="22"/>
        </w:rPr>
        <w:t xml:space="preserve">TACIONAMIENTOS, integrada por: </w:t>
      </w:r>
      <w:r w:rsidR="00D05EF4" w:rsidRPr="00D05EF4">
        <w:rPr>
          <w:rFonts w:ascii="Arial" w:hAnsi="Arial" w:cs="Arial"/>
          <w:sz w:val="22"/>
          <w:szCs w:val="22"/>
          <w:lang w:val="pt-PT"/>
        </w:rPr>
        <w:t>Regidor</w:t>
      </w:r>
      <w:r w:rsidR="00D05EF4">
        <w:rPr>
          <w:rFonts w:ascii="Arial" w:hAnsi="Arial" w:cs="Arial"/>
          <w:sz w:val="22"/>
          <w:szCs w:val="22"/>
          <w:lang w:val="pt-PT"/>
        </w:rPr>
        <w:t>a</w:t>
      </w:r>
      <w:r w:rsidR="00D05EF4" w:rsidRPr="00D05EF4">
        <w:rPr>
          <w:rFonts w:ascii="Arial" w:hAnsi="Arial" w:cs="Arial"/>
          <w:sz w:val="22"/>
          <w:szCs w:val="22"/>
          <w:lang w:val="pt-PT"/>
        </w:rPr>
        <w:t xml:space="preserve"> Presidente de la Comisión de Estacionamientos. LIC. GRIS</w:t>
      </w:r>
      <w:r w:rsidR="00D05EF4">
        <w:rPr>
          <w:rFonts w:ascii="Arial" w:hAnsi="Arial" w:cs="Arial"/>
          <w:sz w:val="22"/>
          <w:szCs w:val="22"/>
          <w:lang w:val="pt-PT"/>
        </w:rPr>
        <w:t xml:space="preserve">ELDA SANCHEZ DELGADO, </w:t>
      </w:r>
      <w:r w:rsidR="00D05EF4" w:rsidRPr="00D05EF4">
        <w:rPr>
          <w:rFonts w:ascii="Arial" w:hAnsi="Arial" w:cs="Arial"/>
          <w:sz w:val="22"/>
          <w:szCs w:val="22"/>
        </w:rPr>
        <w:t>Regidor</w:t>
      </w:r>
      <w:r w:rsidR="00D05EF4">
        <w:rPr>
          <w:rFonts w:ascii="Arial" w:hAnsi="Arial" w:cs="Arial"/>
          <w:sz w:val="22"/>
          <w:szCs w:val="22"/>
        </w:rPr>
        <w:t>a</w:t>
      </w:r>
      <w:r w:rsidR="00D05EF4" w:rsidRPr="00D05EF4">
        <w:rPr>
          <w:rFonts w:ascii="Arial" w:hAnsi="Arial" w:cs="Arial"/>
          <w:sz w:val="22"/>
          <w:szCs w:val="22"/>
        </w:rPr>
        <w:t xml:space="preserve"> Presidente de la Comisión de Hacienda LIC. DE</w:t>
      </w:r>
      <w:r w:rsidR="00D05EF4">
        <w:rPr>
          <w:rFonts w:ascii="Arial" w:hAnsi="Arial" w:cs="Arial"/>
          <w:sz w:val="22"/>
          <w:szCs w:val="22"/>
        </w:rPr>
        <w:t xml:space="preserve">NIS ALEJANDRA PLASCENCIA CAMPOS, </w:t>
      </w:r>
      <w:r w:rsidR="00D05EF4" w:rsidRPr="00D05EF4">
        <w:rPr>
          <w:rFonts w:ascii="Arial" w:hAnsi="Arial" w:cs="Arial"/>
          <w:sz w:val="22"/>
          <w:szCs w:val="22"/>
        </w:rPr>
        <w:t>Regidor</w:t>
      </w:r>
      <w:r w:rsidR="00D05EF4">
        <w:rPr>
          <w:rFonts w:ascii="Arial" w:hAnsi="Arial" w:cs="Arial"/>
          <w:sz w:val="22"/>
          <w:szCs w:val="22"/>
        </w:rPr>
        <w:t>a</w:t>
      </w:r>
      <w:r w:rsidR="00D05EF4" w:rsidRPr="00D05EF4">
        <w:rPr>
          <w:rFonts w:ascii="Arial" w:hAnsi="Arial" w:cs="Arial"/>
          <w:sz w:val="22"/>
          <w:szCs w:val="22"/>
        </w:rPr>
        <w:t xml:space="preserve"> Presidente de la Comisión de Licencias y Regularización. MTRA C</w:t>
      </w:r>
      <w:r w:rsidR="00D05EF4">
        <w:rPr>
          <w:rFonts w:ascii="Arial" w:hAnsi="Arial" w:cs="Arial"/>
          <w:sz w:val="22"/>
          <w:szCs w:val="22"/>
        </w:rPr>
        <w:t>LAUDIA JEANETTE CARRANZA SANTOS,</w:t>
      </w:r>
      <w:r w:rsidR="00D05EF4" w:rsidRPr="00D05EF4">
        <w:rPr>
          <w:rFonts w:ascii="Arial" w:hAnsi="Arial" w:cs="Arial"/>
          <w:sz w:val="22"/>
          <w:szCs w:val="22"/>
        </w:rPr>
        <w:t xml:space="preserve"> </w:t>
      </w:r>
      <w:r w:rsidR="00D05EF4">
        <w:rPr>
          <w:rFonts w:ascii="Arial" w:hAnsi="Arial" w:cs="Arial"/>
          <w:sz w:val="22"/>
          <w:szCs w:val="22"/>
        </w:rPr>
        <w:t xml:space="preserve">Regidora Presidenta de la </w:t>
      </w:r>
      <w:r w:rsidR="00FC3157">
        <w:rPr>
          <w:rFonts w:ascii="Arial" w:hAnsi="Arial" w:cs="Arial"/>
          <w:sz w:val="22"/>
          <w:szCs w:val="22"/>
        </w:rPr>
        <w:t>Comisión</w:t>
      </w:r>
      <w:r w:rsidR="00D05EF4">
        <w:rPr>
          <w:rFonts w:ascii="Arial" w:hAnsi="Arial" w:cs="Arial"/>
          <w:sz w:val="22"/>
          <w:szCs w:val="22"/>
        </w:rPr>
        <w:t xml:space="preserve"> de </w:t>
      </w:r>
      <w:r w:rsidR="00FC3157">
        <w:rPr>
          <w:rFonts w:ascii="Arial" w:hAnsi="Arial" w:cs="Arial"/>
          <w:sz w:val="22"/>
          <w:szCs w:val="22"/>
        </w:rPr>
        <w:t>Protección</w:t>
      </w:r>
      <w:r w:rsidR="00D05EF4">
        <w:rPr>
          <w:rFonts w:ascii="Arial" w:hAnsi="Arial" w:cs="Arial"/>
          <w:sz w:val="22"/>
          <w:szCs w:val="22"/>
        </w:rPr>
        <w:t xml:space="preserve"> Civil Medica Laura </w:t>
      </w:r>
      <w:r w:rsidR="00FC3157">
        <w:rPr>
          <w:rFonts w:ascii="Arial" w:hAnsi="Arial" w:cs="Arial"/>
          <w:sz w:val="22"/>
          <w:szCs w:val="22"/>
        </w:rPr>
        <w:t>Angélica</w:t>
      </w:r>
      <w:r w:rsidR="00D05EF4">
        <w:rPr>
          <w:rFonts w:ascii="Arial" w:hAnsi="Arial" w:cs="Arial"/>
          <w:sz w:val="22"/>
          <w:szCs w:val="22"/>
        </w:rPr>
        <w:t xml:space="preserve"> </w:t>
      </w:r>
      <w:r w:rsidR="00FC3157">
        <w:rPr>
          <w:rFonts w:ascii="Arial" w:hAnsi="Arial" w:cs="Arial"/>
          <w:sz w:val="22"/>
          <w:szCs w:val="22"/>
        </w:rPr>
        <w:t>Chávez</w:t>
      </w:r>
      <w:r w:rsidR="00D05EF4">
        <w:rPr>
          <w:rFonts w:ascii="Arial" w:hAnsi="Arial" w:cs="Arial"/>
          <w:sz w:val="22"/>
          <w:szCs w:val="22"/>
        </w:rPr>
        <w:t xml:space="preserve"> Contreras, </w:t>
      </w:r>
      <w:r w:rsidR="00D05EF4" w:rsidRPr="00D05EF4">
        <w:rPr>
          <w:rFonts w:ascii="Arial" w:hAnsi="Arial" w:cs="Arial"/>
          <w:sz w:val="22"/>
          <w:szCs w:val="22"/>
          <w:lang w:val="pt-PT"/>
        </w:rPr>
        <w:t>El Director de Protección Civil.</w:t>
      </w:r>
      <w:r w:rsidR="00D05EF4">
        <w:rPr>
          <w:rFonts w:ascii="Arial" w:hAnsi="Arial" w:cs="Arial"/>
          <w:sz w:val="22"/>
          <w:szCs w:val="22"/>
          <w:lang w:val="pt-PT"/>
        </w:rPr>
        <w:t xml:space="preserve"> PUMQ. HILARIO </w:t>
      </w:r>
      <w:r w:rsidR="00D05EF4">
        <w:rPr>
          <w:rFonts w:ascii="Arial" w:hAnsi="Arial" w:cs="Arial"/>
          <w:sz w:val="22"/>
          <w:szCs w:val="22"/>
          <w:lang w:val="pt-PT"/>
        </w:rPr>
        <w:lastRenderedPageBreak/>
        <w:t xml:space="preserve">XOCHIPA VALENCIA, </w:t>
      </w:r>
      <w:r w:rsidR="00D05EF4">
        <w:rPr>
          <w:rFonts w:ascii="Arial" w:hAnsi="Arial" w:cs="Arial"/>
        </w:rPr>
        <w:t xml:space="preserve">Directora de </w:t>
      </w:r>
      <w:r w:rsidR="00FC3157">
        <w:rPr>
          <w:rFonts w:ascii="Arial" w:hAnsi="Arial" w:cs="Arial"/>
        </w:rPr>
        <w:t>Padrón</w:t>
      </w:r>
      <w:r w:rsidR="00D05EF4">
        <w:rPr>
          <w:rFonts w:ascii="Arial" w:hAnsi="Arial" w:cs="Arial"/>
        </w:rPr>
        <w:t xml:space="preserve"> y Licencias </w:t>
      </w:r>
      <w:r w:rsidR="00D05EF4">
        <w:rPr>
          <w:rFonts w:ascii="Arial" w:hAnsi="Arial" w:cs="Arial"/>
        </w:rPr>
        <w:t xml:space="preserve">C.  </w:t>
      </w:r>
      <w:r w:rsidR="00D05EF4">
        <w:rPr>
          <w:rFonts w:ascii="Arial" w:hAnsi="Arial" w:cs="Arial"/>
        </w:rPr>
        <w:t>Lic.</w:t>
      </w:r>
      <w:r w:rsidR="00D05EF4">
        <w:rPr>
          <w:rFonts w:ascii="Arial" w:hAnsi="Arial" w:cs="Arial"/>
        </w:rPr>
        <w:t xml:space="preserve"> Fátima del Rosario Gutiérrez Martínez</w:t>
      </w:r>
      <w:r w:rsidR="00D05EF4">
        <w:rPr>
          <w:rFonts w:ascii="Arial" w:hAnsi="Arial" w:cs="Arial"/>
        </w:rPr>
        <w:t xml:space="preserve">, Director de Obras Publicas Ing. Javier </w:t>
      </w:r>
      <w:r w:rsidR="00FC3157">
        <w:rPr>
          <w:rFonts w:ascii="Arial" w:hAnsi="Arial" w:cs="Arial"/>
        </w:rPr>
        <w:t>Jiménez</w:t>
      </w:r>
      <w:r w:rsidR="00D05EF4">
        <w:rPr>
          <w:rFonts w:ascii="Arial" w:hAnsi="Arial" w:cs="Arial"/>
        </w:rPr>
        <w:t xml:space="preserve"> Padilla, </w:t>
      </w:r>
      <w:r w:rsidR="00FC3157">
        <w:rPr>
          <w:rFonts w:ascii="Arial" w:hAnsi="Arial" w:cs="Arial"/>
        </w:rPr>
        <w:t>Regidor</w:t>
      </w:r>
      <w:r w:rsidR="00D05EF4">
        <w:rPr>
          <w:rFonts w:ascii="Arial" w:hAnsi="Arial" w:cs="Arial"/>
        </w:rPr>
        <w:t xml:space="preserve"> Presidente de la </w:t>
      </w:r>
      <w:r w:rsidR="00FC3157">
        <w:rPr>
          <w:rFonts w:ascii="Arial" w:hAnsi="Arial" w:cs="Arial"/>
        </w:rPr>
        <w:t>Comisión</w:t>
      </w:r>
      <w:r w:rsidR="00D05EF4">
        <w:rPr>
          <w:rFonts w:ascii="Arial" w:hAnsi="Arial" w:cs="Arial"/>
        </w:rPr>
        <w:t xml:space="preserve"> </w:t>
      </w:r>
      <w:r w:rsidR="00D05EF4">
        <w:rPr>
          <w:rFonts w:ascii="Arial" w:hAnsi="Arial" w:cs="Arial"/>
          <w:sz w:val="22"/>
          <w:lang w:val="pt-PT"/>
        </w:rPr>
        <w:t xml:space="preserve">C. </w:t>
      </w:r>
      <w:r w:rsidR="00D05EF4" w:rsidRPr="0060593A">
        <w:rPr>
          <w:rFonts w:ascii="Arial" w:hAnsi="Arial" w:cs="Arial"/>
          <w:sz w:val="22"/>
          <w:lang w:val="pt-PT"/>
        </w:rPr>
        <w:t>JORGE LIBORIO MARIN CRUZ</w:t>
      </w:r>
      <w:r w:rsidR="00FC3157">
        <w:rPr>
          <w:rFonts w:ascii="Arial" w:hAnsi="Arial" w:cs="Arial"/>
          <w:lang w:val="pt-PT"/>
        </w:rPr>
        <w:t xml:space="preserve"> </w:t>
      </w:r>
      <w:r w:rsidR="00D05EF4" w:rsidRPr="005F7370">
        <w:rPr>
          <w:rFonts w:ascii="Arial" w:hAnsi="Arial" w:cs="Arial"/>
          <w:sz w:val="22"/>
          <w:lang w:val="es-MX"/>
        </w:rPr>
        <w:t>Regidor Municipal titular de la Comisión de Obras Publicas</w:t>
      </w:r>
      <w:r w:rsidR="00FC3157">
        <w:rPr>
          <w:rFonts w:ascii="Arial" w:hAnsi="Arial" w:cs="Arial"/>
          <w:sz w:val="22"/>
          <w:lang w:val="es-MX"/>
        </w:rPr>
        <w:t xml:space="preserve"> </w:t>
      </w:r>
      <w:r w:rsidR="00FC3157">
        <w:rPr>
          <w:rFonts w:ascii="Arial" w:hAnsi="Arial" w:cs="Arial"/>
          <w:sz w:val="22"/>
        </w:rPr>
        <w:t xml:space="preserve">C. LUIS HUMBERTO CRUZ GARCIA </w:t>
      </w:r>
      <w:r w:rsidR="00FC3157">
        <w:rPr>
          <w:rFonts w:ascii="Arial" w:hAnsi="Arial" w:cs="Arial"/>
          <w:sz w:val="22"/>
        </w:rPr>
        <w:t>Regidor M</w:t>
      </w:r>
      <w:r w:rsidR="00FC3157" w:rsidRPr="008C769F">
        <w:rPr>
          <w:rFonts w:ascii="Arial" w:hAnsi="Arial" w:cs="Arial"/>
          <w:sz w:val="22"/>
        </w:rPr>
        <w:t>unicipal</w:t>
      </w:r>
      <w:r w:rsidR="00FC3157">
        <w:rPr>
          <w:rFonts w:ascii="Arial" w:hAnsi="Arial" w:cs="Arial"/>
          <w:sz w:val="22"/>
        </w:rPr>
        <w:t xml:space="preserve"> titular de la Comisión de Planeación</w:t>
      </w:r>
      <w:r w:rsidR="00FC3157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163D19" w:rsidRPr="007919D6" w:rsidRDefault="00163D19" w:rsidP="00163D19">
      <w:pPr>
        <w:jc w:val="both"/>
        <w:rPr>
          <w:rFonts w:ascii="Arial" w:hAnsi="Arial" w:cs="Arial"/>
          <w:sz w:val="22"/>
        </w:rPr>
      </w:pPr>
    </w:p>
    <w:p w:rsidR="007400EF" w:rsidRPr="00163D19" w:rsidRDefault="00163D19" w:rsidP="005445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</w:t>
      </w:r>
      <w:r w:rsidR="00FC3157">
        <w:rPr>
          <w:rFonts w:ascii="Arial" w:hAnsi="Arial" w:cs="Arial"/>
          <w:sz w:val="22"/>
        </w:rPr>
        <w:t>do.-  Se aprueba por unanimidad la aprobación de la integración de la comisión Especial para Estacionamientos, en la que se depositara toda facultad determinativa para dichos asuntos.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4E63F2">
        <w:rPr>
          <w:rFonts w:ascii="Arial" w:hAnsi="Arial" w:cs="Arial"/>
          <w:sz w:val="22"/>
        </w:rPr>
        <w:t>14 horas con 3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265566">
        <w:rPr>
          <w:rFonts w:ascii="Arial" w:hAnsi="Arial" w:cs="Arial"/>
          <w:sz w:val="22"/>
        </w:rPr>
        <w:t>04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265566">
        <w:rPr>
          <w:rFonts w:ascii="Arial" w:hAnsi="Arial" w:cs="Arial"/>
          <w:sz w:val="22"/>
        </w:rPr>
        <w:t xml:space="preserve"> Marzo</w:t>
      </w:r>
      <w:r w:rsidR="00D63F79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D5D43">
        <w:rPr>
          <w:rFonts w:ascii="Arial" w:hAnsi="Arial" w:cs="Arial"/>
          <w:sz w:val="22"/>
        </w:rPr>
        <w:t>13:3</w:t>
      </w:r>
      <w:r w:rsidR="007A6AC8">
        <w:rPr>
          <w:rFonts w:ascii="Arial" w:hAnsi="Arial" w:cs="Arial"/>
          <w:sz w:val="22"/>
        </w:rPr>
        <w:t>0</w:t>
      </w:r>
      <w:r w:rsidR="00B177A9">
        <w:rPr>
          <w:rFonts w:ascii="Arial" w:hAnsi="Arial" w:cs="Arial"/>
          <w:sz w:val="22"/>
        </w:rPr>
        <w:t xml:space="preserve"> horas, en las instala</w:t>
      </w:r>
      <w:r>
        <w:rPr>
          <w:rFonts w:ascii="Arial" w:hAnsi="Arial" w:cs="Arial"/>
          <w:sz w:val="22"/>
        </w:rPr>
        <w:t>ciones del salón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lastRenderedPageBreak/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lastRenderedPageBreak/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6448BD">
              <w:rPr>
                <w:rFonts w:ascii="Arial" w:hAnsi="Arial" w:cs="Arial"/>
                <w:lang w:val="pt-PT"/>
              </w:rPr>
              <w:t>. LIC.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</w:t>
            </w:r>
            <w:r w:rsidR="002E415C">
              <w:rPr>
                <w:rFonts w:ascii="Arial" w:hAnsi="Arial" w:cs="Arial"/>
                <w:lang w:val="pt-PT"/>
              </w:rPr>
              <w:t>unicipal.</w:t>
            </w:r>
            <w:r w:rsidR="003D5D43">
              <w:rPr>
                <w:rFonts w:ascii="Arial" w:hAnsi="Arial" w:cs="Arial"/>
                <w:lang w:val="pt-PT"/>
              </w:rPr>
              <w:t xml:space="preserve"> GERARDO XOCHIPA VALENCIA.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15" w:rsidRDefault="00B47615" w:rsidP="00E161C3">
      <w:r>
        <w:separator/>
      </w:r>
    </w:p>
  </w:endnote>
  <w:endnote w:type="continuationSeparator" w:id="0">
    <w:p w:rsidR="00B47615" w:rsidRDefault="00B47615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C3157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C3157">
      <w:rPr>
        <w:b/>
        <w:bCs/>
        <w:noProof/>
      </w:rPr>
      <w:t>6</w:t>
    </w:r>
    <w:r>
      <w:rPr>
        <w:b/>
        <w:bCs/>
      </w:rPr>
      <w:fldChar w:fldCharType="end"/>
    </w:r>
  </w:p>
  <w:p w:rsidR="000F3A94" w:rsidRDefault="00FC3157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4 de  Marzo</w:t>
    </w:r>
    <w:r w:rsidR="00D63F79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15" w:rsidRDefault="00B47615" w:rsidP="00E161C3">
      <w:r>
        <w:separator/>
      </w:r>
    </w:p>
  </w:footnote>
  <w:footnote w:type="continuationSeparator" w:id="0">
    <w:p w:rsidR="00B47615" w:rsidRDefault="00B47615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C652D3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3</w:t>
    </w:r>
    <w:r w:rsidR="001F7E84">
      <w:t xml:space="preserve">º 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6D15"/>
    <w:multiLevelType w:val="hybridMultilevel"/>
    <w:tmpl w:val="92C64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7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8"/>
  </w:num>
  <w:num w:numId="5">
    <w:abstractNumId w:val="30"/>
  </w:num>
  <w:num w:numId="6">
    <w:abstractNumId w:val="6"/>
  </w:num>
  <w:num w:numId="7">
    <w:abstractNumId w:val="26"/>
  </w:num>
  <w:num w:numId="8">
    <w:abstractNumId w:val="3"/>
  </w:num>
  <w:num w:numId="9">
    <w:abstractNumId w:val="18"/>
  </w:num>
  <w:num w:numId="10">
    <w:abstractNumId w:val="17"/>
  </w:num>
  <w:num w:numId="11">
    <w:abstractNumId w:val="22"/>
  </w:num>
  <w:num w:numId="12">
    <w:abstractNumId w:val="2"/>
  </w:num>
  <w:num w:numId="13">
    <w:abstractNumId w:val="20"/>
  </w:num>
  <w:num w:numId="14">
    <w:abstractNumId w:val="0"/>
  </w:num>
  <w:num w:numId="15">
    <w:abstractNumId w:val="31"/>
  </w:num>
  <w:num w:numId="16">
    <w:abstractNumId w:val="28"/>
  </w:num>
  <w:num w:numId="17">
    <w:abstractNumId w:val="9"/>
  </w:num>
  <w:num w:numId="18">
    <w:abstractNumId w:val="12"/>
  </w:num>
  <w:num w:numId="19">
    <w:abstractNumId w:val="23"/>
  </w:num>
  <w:num w:numId="20">
    <w:abstractNumId w:val="29"/>
  </w:num>
  <w:num w:numId="21">
    <w:abstractNumId w:val="14"/>
  </w:num>
  <w:num w:numId="22">
    <w:abstractNumId w:val="16"/>
  </w:num>
  <w:num w:numId="23">
    <w:abstractNumId w:val="15"/>
  </w:num>
  <w:num w:numId="24">
    <w:abstractNumId w:val="24"/>
  </w:num>
  <w:num w:numId="25">
    <w:abstractNumId w:val="32"/>
  </w:num>
  <w:num w:numId="26">
    <w:abstractNumId w:val="25"/>
  </w:num>
  <w:num w:numId="27">
    <w:abstractNumId w:val="7"/>
  </w:num>
  <w:num w:numId="28">
    <w:abstractNumId w:val="5"/>
  </w:num>
  <w:num w:numId="29">
    <w:abstractNumId w:val="1"/>
  </w:num>
  <w:num w:numId="30">
    <w:abstractNumId w:val="10"/>
  </w:num>
  <w:num w:numId="31">
    <w:abstractNumId w:val="13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7D0A"/>
    <w:rsid w:val="000910F1"/>
    <w:rsid w:val="00092DC9"/>
    <w:rsid w:val="000A549F"/>
    <w:rsid w:val="000B25C0"/>
    <w:rsid w:val="000C1FE7"/>
    <w:rsid w:val="000C345F"/>
    <w:rsid w:val="000D6AB4"/>
    <w:rsid w:val="000E25AA"/>
    <w:rsid w:val="000F3A94"/>
    <w:rsid w:val="00131F44"/>
    <w:rsid w:val="00134A05"/>
    <w:rsid w:val="00161955"/>
    <w:rsid w:val="00163D19"/>
    <w:rsid w:val="001647B5"/>
    <w:rsid w:val="001763EA"/>
    <w:rsid w:val="00186B91"/>
    <w:rsid w:val="0019044F"/>
    <w:rsid w:val="00191FF0"/>
    <w:rsid w:val="001A6262"/>
    <w:rsid w:val="001A6B97"/>
    <w:rsid w:val="001B3F5A"/>
    <w:rsid w:val="001B5FD0"/>
    <w:rsid w:val="001F7E84"/>
    <w:rsid w:val="0020078D"/>
    <w:rsid w:val="00217B70"/>
    <w:rsid w:val="002433FC"/>
    <w:rsid w:val="00244735"/>
    <w:rsid w:val="002546C9"/>
    <w:rsid w:val="00263000"/>
    <w:rsid w:val="00265566"/>
    <w:rsid w:val="0027746A"/>
    <w:rsid w:val="00286173"/>
    <w:rsid w:val="00292FB9"/>
    <w:rsid w:val="00296E07"/>
    <w:rsid w:val="002972CB"/>
    <w:rsid w:val="00297578"/>
    <w:rsid w:val="002A1824"/>
    <w:rsid w:val="002B69AF"/>
    <w:rsid w:val="002D586D"/>
    <w:rsid w:val="002E415C"/>
    <w:rsid w:val="002F490B"/>
    <w:rsid w:val="002F575D"/>
    <w:rsid w:val="003000BD"/>
    <w:rsid w:val="00300F35"/>
    <w:rsid w:val="003064D8"/>
    <w:rsid w:val="00336097"/>
    <w:rsid w:val="003609AC"/>
    <w:rsid w:val="003667F8"/>
    <w:rsid w:val="003A03AE"/>
    <w:rsid w:val="003D0F8D"/>
    <w:rsid w:val="003D1C13"/>
    <w:rsid w:val="003D2941"/>
    <w:rsid w:val="003D5D43"/>
    <w:rsid w:val="003E7B66"/>
    <w:rsid w:val="0041669D"/>
    <w:rsid w:val="00417402"/>
    <w:rsid w:val="004266F2"/>
    <w:rsid w:val="004355E2"/>
    <w:rsid w:val="004668ED"/>
    <w:rsid w:val="00476044"/>
    <w:rsid w:val="004963F9"/>
    <w:rsid w:val="004A0786"/>
    <w:rsid w:val="004A4B15"/>
    <w:rsid w:val="004C2C99"/>
    <w:rsid w:val="004C7763"/>
    <w:rsid w:val="004E0F63"/>
    <w:rsid w:val="004E63F2"/>
    <w:rsid w:val="004E7081"/>
    <w:rsid w:val="004E7548"/>
    <w:rsid w:val="00500EE7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120EA"/>
    <w:rsid w:val="00621AF9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704A67"/>
    <w:rsid w:val="00711E50"/>
    <w:rsid w:val="00734F67"/>
    <w:rsid w:val="007400EF"/>
    <w:rsid w:val="0075566B"/>
    <w:rsid w:val="00755A55"/>
    <w:rsid w:val="007806A7"/>
    <w:rsid w:val="00786BB6"/>
    <w:rsid w:val="007919D6"/>
    <w:rsid w:val="00792C48"/>
    <w:rsid w:val="00797F31"/>
    <w:rsid w:val="007A6AC8"/>
    <w:rsid w:val="007B73A7"/>
    <w:rsid w:val="007C3631"/>
    <w:rsid w:val="007F300B"/>
    <w:rsid w:val="00802E4D"/>
    <w:rsid w:val="00811E81"/>
    <w:rsid w:val="00824804"/>
    <w:rsid w:val="00850C4C"/>
    <w:rsid w:val="00853B6B"/>
    <w:rsid w:val="00871ED7"/>
    <w:rsid w:val="00890E25"/>
    <w:rsid w:val="008B5BFE"/>
    <w:rsid w:val="008C769F"/>
    <w:rsid w:val="008D24FF"/>
    <w:rsid w:val="008D6F71"/>
    <w:rsid w:val="008E2145"/>
    <w:rsid w:val="008E779E"/>
    <w:rsid w:val="008F054F"/>
    <w:rsid w:val="008F5746"/>
    <w:rsid w:val="009213D9"/>
    <w:rsid w:val="00935658"/>
    <w:rsid w:val="009358BF"/>
    <w:rsid w:val="00936B8C"/>
    <w:rsid w:val="009557DF"/>
    <w:rsid w:val="00962DB0"/>
    <w:rsid w:val="00982B3C"/>
    <w:rsid w:val="00991F4A"/>
    <w:rsid w:val="009A23F7"/>
    <w:rsid w:val="009B3776"/>
    <w:rsid w:val="009E2CDE"/>
    <w:rsid w:val="009F0557"/>
    <w:rsid w:val="009F4418"/>
    <w:rsid w:val="009F4F84"/>
    <w:rsid w:val="00A02114"/>
    <w:rsid w:val="00A11860"/>
    <w:rsid w:val="00A131A5"/>
    <w:rsid w:val="00A1375B"/>
    <w:rsid w:val="00A6365F"/>
    <w:rsid w:val="00A70882"/>
    <w:rsid w:val="00A71B38"/>
    <w:rsid w:val="00A826E1"/>
    <w:rsid w:val="00A82F11"/>
    <w:rsid w:val="00A93F63"/>
    <w:rsid w:val="00A93F68"/>
    <w:rsid w:val="00AA01F0"/>
    <w:rsid w:val="00AA63F3"/>
    <w:rsid w:val="00AC45C4"/>
    <w:rsid w:val="00AC52B1"/>
    <w:rsid w:val="00AD11E0"/>
    <w:rsid w:val="00AD7789"/>
    <w:rsid w:val="00B122CB"/>
    <w:rsid w:val="00B16E85"/>
    <w:rsid w:val="00B177A9"/>
    <w:rsid w:val="00B17DE0"/>
    <w:rsid w:val="00B21A47"/>
    <w:rsid w:val="00B30E78"/>
    <w:rsid w:val="00B3444B"/>
    <w:rsid w:val="00B47615"/>
    <w:rsid w:val="00B66727"/>
    <w:rsid w:val="00B77C2D"/>
    <w:rsid w:val="00BA5A3C"/>
    <w:rsid w:val="00BC6C74"/>
    <w:rsid w:val="00BC750A"/>
    <w:rsid w:val="00BD4F0A"/>
    <w:rsid w:val="00BE2D30"/>
    <w:rsid w:val="00BF0BA5"/>
    <w:rsid w:val="00BF1575"/>
    <w:rsid w:val="00BF6F58"/>
    <w:rsid w:val="00C20023"/>
    <w:rsid w:val="00C26A9E"/>
    <w:rsid w:val="00C34116"/>
    <w:rsid w:val="00C652D3"/>
    <w:rsid w:val="00C870C3"/>
    <w:rsid w:val="00CA379F"/>
    <w:rsid w:val="00CA54CD"/>
    <w:rsid w:val="00CA7A43"/>
    <w:rsid w:val="00CC7EF4"/>
    <w:rsid w:val="00CD6E7C"/>
    <w:rsid w:val="00CF0AD7"/>
    <w:rsid w:val="00CF14AD"/>
    <w:rsid w:val="00D03E5B"/>
    <w:rsid w:val="00D05EF4"/>
    <w:rsid w:val="00D253F2"/>
    <w:rsid w:val="00D32882"/>
    <w:rsid w:val="00D34674"/>
    <w:rsid w:val="00D45C2D"/>
    <w:rsid w:val="00D50124"/>
    <w:rsid w:val="00D628CD"/>
    <w:rsid w:val="00D63F79"/>
    <w:rsid w:val="00D75039"/>
    <w:rsid w:val="00D80C8A"/>
    <w:rsid w:val="00DA5A4E"/>
    <w:rsid w:val="00DB34DC"/>
    <w:rsid w:val="00DC3D0F"/>
    <w:rsid w:val="00DC7028"/>
    <w:rsid w:val="00DD3104"/>
    <w:rsid w:val="00DD792A"/>
    <w:rsid w:val="00DE49C2"/>
    <w:rsid w:val="00DF6D9E"/>
    <w:rsid w:val="00DF7B59"/>
    <w:rsid w:val="00E00B64"/>
    <w:rsid w:val="00E05D20"/>
    <w:rsid w:val="00E161C3"/>
    <w:rsid w:val="00E16EFF"/>
    <w:rsid w:val="00E211EC"/>
    <w:rsid w:val="00E35D3E"/>
    <w:rsid w:val="00E674BD"/>
    <w:rsid w:val="00E740FF"/>
    <w:rsid w:val="00E8675D"/>
    <w:rsid w:val="00E92EB8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534FB"/>
    <w:rsid w:val="00F55184"/>
    <w:rsid w:val="00F559DC"/>
    <w:rsid w:val="00F72261"/>
    <w:rsid w:val="00F739F2"/>
    <w:rsid w:val="00F7743E"/>
    <w:rsid w:val="00F8728E"/>
    <w:rsid w:val="00F90720"/>
    <w:rsid w:val="00F91C30"/>
    <w:rsid w:val="00FA0490"/>
    <w:rsid w:val="00FA17BA"/>
    <w:rsid w:val="00FA4934"/>
    <w:rsid w:val="00FB27B5"/>
    <w:rsid w:val="00FB66A9"/>
    <w:rsid w:val="00FC0DA1"/>
    <w:rsid w:val="00FC3157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79CA-8E6C-4055-8971-578CC555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8182</TotalTime>
  <Pages>6</Pages>
  <Words>2112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80</cp:revision>
  <cp:lastPrinted>2018-10-24T22:13:00Z</cp:lastPrinted>
  <dcterms:created xsi:type="dcterms:W3CDTF">2019-01-03T19:33:00Z</dcterms:created>
  <dcterms:modified xsi:type="dcterms:W3CDTF">2020-03-09T01:37:00Z</dcterms:modified>
</cp:coreProperties>
</file>