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2110740</wp:posOffset>
            </wp:positionH>
            <wp:positionV relativeFrom="paragraph">
              <wp:posOffset>-752474</wp:posOffset>
            </wp:positionV>
            <wp:extent cx="1619250" cy="125285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19250" cy="1252855"/>
                    </a:xfrm>
                    <a:prstGeom prst="rect"/>
                    <a:ln/>
                  </pic:spPr>
                </pic:pic>
              </a:graphicData>
            </a:graphic>
          </wp:anchor>
        </w:drawing>
      </w:r>
    </w:p>
    <w:p w:rsidR="00000000" w:rsidDel="00000000" w:rsidP="00000000" w:rsidRDefault="00000000" w:rsidRPr="00000000" w14:paraId="00000002">
      <w:pPr>
        <w:rPr>
          <w:sz w:val="22"/>
          <w:szCs w:val="22"/>
        </w:rPr>
      </w:pPr>
      <w:r w:rsidDel="00000000" w:rsidR="00000000" w:rsidRPr="00000000">
        <w:rPr>
          <w:rtl w:val="0"/>
        </w:rPr>
      </w:r>
    </w:p>
    <w:tbl>
      <w:tblPr>
        <w:tblStyle w:val="Table1"/>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c>
          <w:tcPr/>
          <w:p w:rsidR="00000000" w:rsidDel="00000000" w:rsidP="00000000" w:rsidRDefault="00000000" w:rsidRPr="00000000" w14:paraId="00000003">
            <w:pPr>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PLAN ANUAL DE TRABAJO 20</w:t>
            </w:r>
            <w:r w:rsidDel="00000000" w:rsidR="00000000" w:rsidRPr="00000000">
              <w:rPr>
                <w:rFonts w:ascii="Montserrat SemiBold" w:cs="Montserrat SemiBold" w:eastAsia="Montserrat SemiBold" w:hAnsi="Montserrat SemiBold"/>
                <w:color w:val="000000"/>
                <w:sz w:val="24"/>
                <w:szCs w:val="24"/>
                <w:rtl w:val="0"/>
              </w:rPr>
              <w:t xml:space="preserve">20 </w:t>
            </w:r>
            <w:r w:rsidDel="00000000" w:rsidR="00000000" w:rsidRPr="00000000">
              <w:rPr>
                <w:rtl w:val="0"/>
              </w:rPr>
            </w:r>
          </w:p>
          <w:p w:rsidR="00000000" w:rsidDel="00000000" w:rsidP="00000000" w:rsidRDefault="00000000" w:rsidRPr="00000000" w14:paraId="00000004">
            <w:pPr>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H. AYUNTAMIENTO DE SAN JUAN DE LOS LAGOS, JALISCO</w:t>
            </w:r>
          </w:p>
          <w:p w:rsidR="00000000" w:rsidDel="00000000" w:rsidP="00000000" w:rsidRDefault="00000000" w:rsidRPr="00000000" w14:paraId="00000005">
            <w:pPr>
              <w:jc w:val="center"/>
              <w:rPr>
                <w:rFonts w:ascii="Montserrat SemiBold" w:cs="Montserrat SemiBold" w:eastAsia="Montserrat SemiBold" w:hAnsi="Montserrat SemiBold"/>
                <w:sz w:val="22"/>
                <w:szCs w:val="22"/>
              </w:rPr>
            </w:pPr>
            <w:r w:rsidDel="00000000" w:rsidR="00000000" w:rsidRPr="00000000">
              <w:rPr>
                <w:rtl w:val="0"/>
              </w:rPr>
            </w:r>
          </w:p>
        </w:tc>
      </w:tr>
      <w:tr>
        <w:tc>
          <w:tcPr>
            <w:shd w:fill="3b3838" w:val="clear"/>
          </w:tcPr>
          <w:p w:rsidR="00000000" w:rsidDel="00000000" w:rsidP="00000000" w:rsidRDefault="00000000" w:rsidRPr="00000000" w14:paraId="00000006">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sz w:val="28"/>
                <w:szCs w:val="28"/>
                <w:rtl w:val="0"/>
              </w:rPr>
              <w:t xml:space="preserve">COMISIÓN DE CULTURA</w:t>
            </w:r>
            <w:r w:rsidDel="00000000" w:rsidR="00000000" w:rsidRPr="00000000">
              <w:rPr>
                <w:rtl w:val="0"/>
              </w:rPr>
            </w:r>
          </w:p>
        </w:tc>
      </w:tr>
      <w:tr>
        <w:tc>
          <w:tcPr/>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Montserrat SemiBold" w:cs="Montserrat SemiBold" w:eastAsia="Montserrat SemiBold" w:hAnsi="Montserrat SemiBold"/>
                <w:sz w:val="22"/>
                <w:szCs w:val="22"/>
              </w:rPr>
            </w:pPr>
            <w:r w:rsidDel="00000000" w:rsidR="00000000" w:rsidRPr="00000000">
              <w:rPr>
                <w:rFonts w:ascii="Arial" w:cs="Arial" w:eastAsia="Arial" w:hAnsi="Arial"/>
                <w:rtl w:val="0"/>
              </w:rPr>
              <w:t xml:space="preserve">La Comisión Edilicia de Cultura,  integrante del Ayuntamiento Constitucional para el periodo 2018 – 2021, presenta el Plan de Trabajo de acuerdo a sus atribuciones conferidas en la Ley de Gobierno y Administración Pública del Estado de Jalisco y sus Municipios, y la Ley de Transparencia y Acceso a la Información Pública del Estado de Jalisco y sus Municipios.</w:t>
            </w:r>
            <w:r w:rsidDel="00000000" w:rsidR="00000000" w:rsidRPr="00000000">
              <w:rPr>
                <w:rtl w:val="0"/>
              </w:rPr>
            </w:r>
          </w:p>
          <w:p w:rsidR="00000000" w:rsidDel="00000000" w:rsidP="00000000" w:rsidRDefault="00000000" w:rsidRPr="00000000" w14:paraId="00000009">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0A">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MARCO NORMATIVO</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Constitución Política del Estado de Jalisco</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rtl w:val="0"/>
              </w:rPr>
              <w:t xml:space="preserve">Artículo 77.- Los ayuntamientos tendrán facultades para aprobar, de acuerdo con las leyes en materia municipal que expida el Congreso del Estado:</w:t>
            </w:r>
            <w:r w:rsidDel="00000000" w:rsidR="00000000" w:rsidRPr="00000000">
              <w:rPr>
                <w:rtl w:val="0"/>
              </w:rPr>
            </w:r>
          </w:p>
          <w:p w:rsidR="00000000" w:rsidDel="00000000" w:rsidP="00000000" w:rsidRDefault="00000000" w:rsidRPr="00000000" w14:paraId="0000000F">
            <w:pPr>
              <w:ind w:left="459" w:firstLine="0"/>
              <w:jc w:val="both"/>
              <w:rPr>
                <w:rFonts w:ascii="Arial" w:cs="Arial" w:eastAsia="Arial" w:hAnsi="Arial"/>
                <w:sz w:val="22"/>
                <w:szCs w:val="22"/>
              </w:rPr>
            </w:pPr>
            <w:r w:rsidDel="00000000" w:rsidR="00000000" w:rsidRPr="00000000">
              <w:rPr>
                <w:rFonts w:ascii="Arial" w:cs="Arial" w:eastAsia="Arial" w:hAnsi="Arial"/>
                <w:rtl w:val="0"/>
              </w:rPr>
              <w:t xml:space="preserve">I. Los bandos de policía y gobierno;</w:t>
            </w:r>
            <w:r w:rsidDel="00000000" w:rsidR="00000000" w:rsidRPr="00000000">
              <w:rPr>
                <w:rtl w:val="0"/>
              </w:rPr>
            </w:r>
          </w:p>
          <w:p w:rsidR="00000000" w:rsidDel="00000000" w:rsidP="00000000" w:rsidRDefault="00000000" w:rsidRPr="00000000" w14:paraId="00000010">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II. Los reglamentos, circulares y disposiciones administrativas de observancia general dentro de sus respectivas jurisdicciones, con el objeto de:</w:t>
            </w:r>
            <w:r w:rsidDel="00000000" w:rsidR="00000000" w:rsidRPr="00000000">
              <w:rPr>
                <w:rtl w:val="0"/>
              </w:rPr>
            </w:r>
          </w:p>
          <w:p w:rsidR="00000000" w:rsidDel="00000000" w:rsidP="00000000" w:rsidRDefault="00000000" w:rsidRPr="00000000" w14:paraId="00000011">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a) Organizar la administración pública municipal</w:t>
            </w:r>
            <w:r w:rsidDel="00000000" w:rsidR="00000000" w:rsidRPr="00000000">
              <w:rPr>
                <w:rtl w:val="0"/>
              </w:rPr>
            </w:r>
          </w:p>
          <w:p w:rsidR="00000000" w:rsidDel="00000000" w:rsidP="00000000" w:rsidRDefault="00000000" w:rsidRPr="00000000" w14:paraId="00000012">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b) Regular las materias, procedimientos, funciones y servicios públicos de su competencia; </w:t>
            </w:r>
            <w:r w:rsidDel="00000000" w:rsidR="00000000" w:rsidRPr="00000000">
              <w:rPr>
                <w:rtl w:val="0"/>
              </w:rPr>
            </w:r>
          </w:p>
          <w:p w:rsidR="00000000" w:rsidDel="00000000" w:rsidP="00000000" w:rsidRDefault="00000000" w:rsidRPr="00000000" w14:paraId="00000013">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c) Asegurar la participación ciudadana y vecinal;</w:t>
            </w:r>
            <w:r w:rsidDel="00000000" w:rsidR="00000000" w:rsidRPr="00000000">
              <w:rPr>
                <w:rtl w:val="0"/>
              </w:rPr>
            </w:r>
          </w:p>
          <w:p w:rsidR="00000000" w:rsidDel="00000000" w:rsidP="00000000" w:rsidRDefault="00000000" w:rsidRPr="00000000" w14:paraId="00000014">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III. Los reglamentos y disposiciones administrativas que fueren necesarios para cumplir los fines señalados en el párrafo tercero del artículo 27 de la Constitución Política de los Estados Unidos Mexicanos; y</w:t>
            </w:r>
            <w:r w:rsidDel="00000000" w:rsidR="00000000" w:rsidRPr="00000000">
              <w:rPr>
                <w:rtl w:val="0"/>
              </w:rPr>
            </w:r>
          </w:p>
          <w:p w:rsidR="00000000" w:rsidDel="00000000" w:rsidP="00000000" w:rsidRDefault="00000000" w:rsidRPr="00000000" w14:paraId="00000015">
            <w:pPr>
              <w:ind w:left="360" w:firstLine="0"/>
              <w:jc w:val="both"/>
              <w:rPr>
                <w:rFonts w:ascii="Arial" w:cs="Arial" w:eastAsia="Arial" w:hAnsi="Arial"/>
                <w:sz w:val="22"/>
                <w:szCs w:val="22"/>
              </w:rPr>
            </w:pPr>
            <w:r w:rsidDel="00000000" w:rsidR="00000000" w:rsidRPr="00000000">
              <w:rPr>
                <w:rFonts w:ascii="Arial" w:cs="Arial" w:eastAsia="Arial" w:hAnsi="Arial"/>
                <w:rtl w:val="0"/>
              </w:rPr>
              <w:t xml:space="preserve">IV. Los reglamentos que normen la creación y supresión de los empleos públicos municipales y las condiciones y relaciones de trabajo entre el municipio y sus servidores públicos.</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Ley de Gobierno y Administración Pública del Estado de Jalisco y sus Municipios</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b w:val="1"/>
                <w:rtl w:val="0"/>
              </w:rPr>
              <w:t xml:space="preserve">Artículo 27</w:t>
            </w:r>
            <w:r w:rsidDel="00000000" w:rsidR="00000000" w:rsidRPr="00000000">
              <w:rPr>
                <w:rFonts w:ascii="Arial" w:cs="Arial" w:eastAsia="Arial" w:hAnsi="Arial"/>
                <w:rtl w:val="0"/>
              </w:rPr>
              <w:t xml:space="preserve">. Los Ayuntamientos, para el estudio, vigilancia y atención de los diversos asuntos que les corresponda conocer, deben funcionar mediante comisiones.</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b w:val="1"/>
                <w:rtl w:val="0"/>
              </w:rPr>
              <w:t xml:space="preserve">Artículo 38</w:t>
            </w:r>
            <w:r w:rsidDel="00000000" w:rsidR="00000000" w:rsidRPr="00000000">
              <w:rPr>
                <w:rFonts w:ascii="Arial" w:cs="Arial" w:eastAsia="Arial" w:hAnsi="Arial"/>
                <w:rtl w:val="0"/>
              </w:rPr>
              <w:t xml:space="preserve">. Son facultades de los Ayuntamientos: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Proponer ante el Congreso del Estado, iniciativas de leyes o decretos en materias municipales;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Adquirir bienes en cualquiera de las formas previstas por la Ley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Crear los empleos públicos, así como las dependencias y entidades que se estimen necesarias para cumplir con sus fines;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Celebrar convenios con el Poder Ejecutivo del Estado a fin de que éste, de manera directa o a través del organismo correspondiente, se haga cargo en forma temporal de alguna de las funciones o servicios que los municipios tengan a su cargo o se ejerzan coordinadamente por el Poder Ejecutivo del Estado y el propio Municipio;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Celebrar convenios de coordinación y asociación con otros Municipios para la más eficaz prestación de los servicios públicos o el mejor ejercicio de las funciones que les corresponden.</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Tratándose de la asociación de los municipios de dos o más Estados, deben contar con la aprobación de las legislaturas de los estados respectivas;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Señalar las garantías que en su caso deban otorgar los servidores públicos municipales que designe, para responder por el ejercicio de sus funciones;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la participación ciudadana y vecinal a través de los mecanismos y figuras que para tal efecto establezcan en sus ordenamientos municipales;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Implementar instrumentos para la modernización administrativa y la mejora regulatoria;</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a la generación de empleos dentro del Municipio;</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el registro y difusión del acontecer histórico y las tradiciones del Municipio, a través de las dependencias, órganos o entidades correspondientes, en los términos de la reglamentación respectiva; 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demás que les establezcan la Constitución Federal, Estatal y demás leyes, tanto federales y locales, y reglamentos</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Ley de Transparencia y Acceso a la información pública del Estado de Jalisco y sus Municipios</w:t>
            </w: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b w:val="1"/>
                <w:rtl w:val="0"/>
              </w:rPr>
              <w:t xml:space="preserve">Artículo 15. </w:t>
            </w:r>
            <w:r w:rsidDel="00000000" w:rsidR="00000000" w:rsidRPr="00000000">
              <w:rPr>
                <w:rFonts w:ascii="Arial" w:cs="Arial" w:eastAsia="Arial" w:hAnsi="Arial"/>
                <w:rtl w:val="0"/>
              </w:rPr>
              <w:t xml:space="preserve">Información fundamental – Ayuntamientos</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rtl w:val="0"/>
              </w:rPr>
              <w:t xml:space="preserve">VII. Los programas de trabajo de las comisiones edilicias</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Ayuntamiento Constitucional de San Juan de los Lagos, Jal. </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PRESENTE: </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 Laura Angélica Chávez Contreras mexicana, mayor de edad y con carácter de Regidora Municipal de este H. Ayuntamiento, ante ustedes con el debido respeto comparezco para: </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EXPONER </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medio de la presente y con fundamento en el artículo 27 del Capítulo V de las Comisiones, en la Ley del Gobierno y la Administración Pública Municipal del Estado de Jalisco, así como en el Reglamento del Ayuntamiento de San Juan de los Lagos, JAL. Artículo 48; se me tenga presentado los siguientes informes correspondientes a la Comisión de Cultura en relación al periodo del día 01 de enero al 6 Diciembre del 2019. </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presentan los trabajos destacados por parte de la comisión: </w:t>
            </w:r>
            <w:r w:rsidDel="00000000" w:rsidR="00000000" w:rsidRPr="00000000">
              <w:rPr>
                <w:rFonts w:ascii="Arial" w:cs="Arial" w:eastAsia="Arial" w:hAnsi="Arial"/>
                <w:color w:val="000000"/>
                <w:sz w:val="22"/>
                <w:szCs w:val="22"/>
                <w:rtl w:val="0"/>
              </w:rPr>
              <w:t xml:space="preserve">2019 y continuaran en el  2020 </w:t>
            </w: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color w:val="000000"/>
                <w:sz w:val="22"/>
                <w:szCs w:val="22"/>
                <w:rtl w:val="0"/>
              </w:rPr>
              <w:t xml:space="preserve">Continuacion de l</w:t>
            </w:r>
            <w:r w:rsidDel="00000000" w:rsidR="00000000" w:rsidRPr="00000000">
              <w:rPr>
                <w:rFonts w:ascii="Arial" w:cs="Arial" w:eastAsia="Arial" w:hAnsi="Arial"/>
                <w:sz w:val="22"/>
                <w:szCs w:val="22"/>
                <w:rtl w:val="0"/>
              </w:rPr>
              <w:t xml:space="preserve">a Comisión</w:t>
            </w:r>
            <w:r w:rsidDel="00000000" w:rsidR="00000000" w:rsidRPr="00000000">
              <w:rPr>
                <w:rFonts w:ascii="Arial" w:cs="Arial" w:eastAsia="Arial" w:hAnsi="Arial"/>
                <w:color w:val="000000"/>
                <w:sz w:val="22"/>
                <w:szCs w:val="22"/>
                <w:rtl w:val="0"/>
              </w:rPr>
              <w:t xml:space="preserve"> y agragar a quienes se quieran incluir en ella.</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r w:rsidDel="00000000" w:rsidR="00000000" w:rsidRPr="00000000">
              <w:rPr>
                <w:rFonts w:ascii="Arial" w:cs="Arial" w:eastAsia="Arial" w:hAnsi="Arial"/>
                <w:color w:val="000000"/>
                <w:sz w:val="22"/>
                <w:szCs w:val="22"/>
                <w:rtl w:val="0"/>
              </w:rPr>
              <w:t xml:space="preserve">Continuar con el Plan </w:t>
            </w:r>
            <w:r w:rsidDel="00000000" w:rsidR="00000000" w:rsidRPr="00000000">
              <w:rPr>
                <w:rFonts w:ascii="Arial" w:cs="Arial" w:eastAsia="Arial" w:hAnsi="Arial"/>
                <w:sz w:val="22"/>
                <w:szCs w:val="22"/>
                <w:rtl w:val="0"/>
              </w:rPr>
              <w:t xml:space="preserve">de trabajo </w:t>
            </w:r>
            <w:r w:rsidDel="00000000" w:rsidR="00000000" w:rsidRPr="00000000">
              <w:rPr>
                <w:rFonts w:ascii="Arial" w:cs="Arial" w:eastAsia="Arial" w:hAnsi="Arial"/>
                <w:color w:val="000000"/>
                <w:sz w:val="22"/>
                <w:szCs w:val="22"/>
                <w:rtl w:val="0"/>
              </w:rPr>
              <w:t xml:space="preserve">de los talleres de clases </w:t>
            </w:r>
            <w:r w:rsidDel="00000000" w:rsidR="00000000" w:rsidRPr="00000000">
              <w:rPr>
                <w:rFonts w:ascii="Arial" w:cs="Arial" w:eastAsia="Arial" w:hAnsi="Arial"/>
                <w:sz w:val="22"/>
                <w:szCs w:val="22"/>
                <w:rtl w:val="0"/>
              </w:rPr>
              <w:t xml:space="preserve">y Realización de Reglamento de Cultura como lo pide la SECRETARÍA DE C</w:t>
            </w:r>
            <w:r w:rsidDel="00000000" w:rsidR="00000000" w:rsidRPr="00000000">
              <w:rPr>
                <w:rFonts w:ascii="Arial" w:cs="Arial" w:eastAsia="Arial" w:hAnsi="Arial"/>
                <w:color w:val="000000"/>
                <w:sz w:val="22"/>
                <w:szCs w:val="22"/>
                <w:rtl w:val="0"/>
              </w:rPr>
              <w:t xml:space="preserve">ULTURA </w:t>
            </w:r>
            <w:r w:rsidDel="00000000" w:rsidR="00000000" w:rsidRPr="00000000">
              <w:rPr>
                <w:rFonts w:ascii="Arial" w:cs="Arial" w:eastAsia="Arial" w:hAnsi="Arial"/>
                <w:sz w:val="22"/>
                <w:szCs w:val="22"/>
                <w:rtl w:val="0"/>
              </w:rPr>
              <w:t xml:space="preserve">DEL ESTADO. </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Realización de Intercambios artísticos intermunicipales e interestatales. </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Habilitar la casa de Cultura de la Delegación de  Mezquitic de la Magdalena. </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 Creación de Biblioteca en la Casa de Cultura de Mezquitic. </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Rehabilitación de parques en las colonias para llevar el arte y la cultura a cada rincón del</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Municipio. </w:t>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Creación de Escuela de música por  ECCOS en la cual los maestros</w:t>
            </w:r>
            <w:r w:rsidDel="00000000" w:rsidR="00000000" w:rsidRPr="00000000">
              <w:rPr>
                <w:rFonts w:ascii="Arial" w:cs="Arial" w:eastAsia="Arial" w:hAnsi="Arial"/>
                <w:color w:val="000000"/>
                <w:sz w:val="22"/>
                <w:szCs w:val="22"/>
                <w:rtl w:val="0"/>
              </w:rPr>
              <w:t xml:space="preserve"> de nuestro municipio y o alrededores </w:t>
            </w:r>
            <w:r w:rsidDel="00000000" w:rsidR="00000000" w:rsidRPr="00000000">
              <w:rPr>
                <w:rFonts w:ascii="Arial" w:cs="Arial" w:eastAsia="Arial" w:hAnsi="Arial"/>
                <w:sz w:val="22"/>
                <w:szCs w:val="22"/>
                <w:rtl w:val="0"/>
              </w:rPr>
              <w:t xml:space="preserve"> serán elegidos y pagados  por</w:t>
            </w:r>
            <w:r w:rsidDel="00000000" w:rsidR="00000000" w:rsidRPr="00000000">
              <w:rPr>
                <w:rFonts w:ascii="Arial" w:cs="Arial" w:eastAsia="Arial" w:hAnsi="Arial"/>
                <w:color w:val="000000"/>
                <w:sz w:val="22"/>
                <w:szCs w:val="22"/>
                <w:rtl w:val="0"/>
              </w:rPr>
              <w:t xml:space="preserve"> Secretaria Estatal de Curura </w:t>
            </w:r>
            <w:r w:rsidDel="00000000" w:rsidR="00000000" w:rsidRPr="00000000">
              <w:rPr>
                <w:rFonts w:ascii="Arial" w:cs="Arial" w:eastAsia="Arial" w:hAnsi="Arial"/>
                <w:sz w:val="22"/>
                <w:szCs w:val="22"/>
                <w:rtl w:val="0"/>
              </w:rPr>
              <w:t xml:space="preserve"> los instrumentos serán otorgados también solo San Juan será el responsable de  resguardarlos. </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Esto se hará por etapas durante el 2020. </w:t>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Mejoras de trabajo para los maestros de casa de Cultura</w:t>
            </w:r>
            <w:r w:rsidDel="00000000" w:rsidR="00000000" w:rsidRPr="00000000">
              <w:rPr>
                <w:rFonts w:ascii="Arial" w:cs="Arial" w:eastAsia="Arial" w:hAnsi="Arial"/>
                <w:color w:val="000000"/>
                <w:sz w:val="22"/>
                <w:szCs w:val="22"/>
                <w:rtl w:val="0"/>
              </w:rPr>
              <w:t xml:space="preserve"> y para los alumnos también adecuando los talleres. </w:t>
            </w: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 Ir cambiando los talleres que no tienen la cantidad adecuada para dicho taller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implementar otros e ir valorando la eficacia y efectividad de ellos. </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Atentamente </w:t>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 Laura Angélica  Chávez Contreras</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Regidor</w:t>
            </w:r>
            <w:r w:rsidDel="00000000" w:rsidR="00000000" w:rsidRPr="00000000">
              <w:rPr>
                <w:rFonts w:ascii="Arial" w:cs="Arial" w:eastAsia="Arial" w:hAnsi="Arial"/>
                <w:color w:val="000000"/>
                <w:sz w:val="22"/>
                <w:szCs w:val="22"/>
                <w:rtl w:val="0"/>
              </w:rPr>
              <w:t xml:space="preserve">a Municipal </w:t>
            </w: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San Juan de los Lagos, JAL. </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360" w:firstLine="0"/>
              <w:jc w:val="both"/>
              <w:rPr>
                <w:rFonts w:ascii="Montserrat SemiBold" w:cs="Montserrat SemiBold" w:eastAsia="Montserrat SemiBold" w:hAnsi="Montserrat SemiBold"/>
                <w:sz w:val="20"/>
                <w:szCs w:val="20"/>
              </w:rPr>
            </w:pPr>
            <w:r w:rsidDel="00000000" w:rsidR="00000000" w:rsidRPr="00000000">
              <w:rPr>
                <w:rtl w:val="0"/>
              </w:rPr>
            </w:r>
          </w:p>
        </w:tc>
      </w:tr>
      <w:tr>
        <w:tc>
          <w:tcPr/>
          <w:p w:rsidR="00000000" w:rsidDel="00000000" w:rsidP="00000000" w:rsidRDefault="00000000" w:rsidRPr="00000000" w14:paraId="00000056">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OBLIGACIONES Y ATRIBUCIONES</w:t>
            </w: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Ley de Gobierno y Administración Pública del Estado de Jalisco y sus Municipios</w:t>
            </w:r>
            <w:r w:rsidDel="00000000" w:rsidR="00000000" w:rsidRPr="00000000">
              <w:rPr>
                <w:rtl w:val="0"/>
              </w:rPr>
            </w:r>
          </w:p>
          <w:p w:rsidR="00000000" w:rsidDel="00000000" w:rsidP="00000000" w:rsidRDefault="00000000" w:rsidRPr="00000000" w14:paraId="00000059">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rtl w:val="0"/>
              </w:rPr>
              <w:t xml:space="preserve">Artículo 37</w:t>
            </w:r>
            <w:r w:rsidDel="00000000" w:rsidR="00000000" w:rsidRPr="00000000">
              <w:rPr>
                <w:rFonts w:ascii="Arial" w:cs="Arial" w:eastAsia="Arial" w:hAnsi="Arial"/>
                <w:rtl w:val="0"/>
              </w:rPr>
              <w:t xml:space="preserve">. Son obligaciones de los Ayuntamientos, las siguientes: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Presentar al Congreso del Estado, las iniciativas de sus leyes de ingresos antes del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 Los munícipes que incumplan esta obligación, incurrirán en responsabilidad, en los términos de la ley estatal en materia de responsabilidades de los servidores públicos;</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Remitir a la Auditoría Superior a más tardar el día veinte de cada mes, la cuenta detallada de los movimiento de fondos ocurridos en el mes anterior; a más tardar el día último de julio, el corte del primer semestre; y a más tardar el día último de febrero, el corte general del año inmediato anterior;</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Conservar y acrecentar los bienes materiales del Municipio y llevar el Registro Público de Bienes Municipales, en el que se señalen los bienes del dominio público y del dominio privado del Municipio y de sus entidades;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Cuidar de la prestación de todos los servicios públicos de su competencia</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Observar las disposiciones de las leyes federales y estatales en el desempeño de las funciones o en la prestación de los servicios a su cargo;</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las disposiciones federales y estatales en materia de protección civil;</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Expedir y aplicar los reglamentos relativos a la prestación de los servicios de agua potable, drenaje, alcantarillado, tratamiento y disposición de aguas residuales, conforme a las bases generales definidas por las leyes federales y estatales en la materia;</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Apoyar la educación, la cultura, la asistencia social y demás funciones públicas en la forma que las leyes y reglamentos de la materia dispongan;</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la seguridad en todo el Municipio y dictar las medidas tendientes a mantener la seguridad, el orden público y la preservación de los derechos humanos;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la fiscalización y evaluación de la administración pública municipal, mediante los órganos, dependencias o entidades creadas para tal efecto</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las funciones del Registro Civil;</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Ejercer en coordinación con la Federación y el Gobierno del Estado, en el ámbito de su competencia, sus atribuciones en materia de prevención, atención, sanción y erradicación de la violencia contra las mujeres; y</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demás que les establezcan las Constituciones Federal, Estatal y demás leyes, tanto federales como locales, y reglamentos.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Reglamento de las Sesiones de Ayuntamiento del Municipio de San Juan de los Lagos</w:t>
            </w: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Fonts w:ascii="Arial" w:cs="Arial" w:eastAsia="Arial" w:hAnsi="Arial"/>
                <w:rtl w:val="0"/>
              </w:rPr>
              <w:t xml:space="preserve">Artículo 34.-  Las comisiones edilicias tienen las siguientes atribuciones: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estudiar, analizar, discutir y dictaminar los asuntos turnados por el Ayuntamiento;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Presentar al Ayuntamiento los dictámenes e informes, resultados de sus trabajos e investigaciones y demás documentos relativos a los asuntos que les son turnados;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del control y evaluación de los ramos de la actividad pública municipal que correspondan a sus atribuciones, mediante la presentación de informes y la participación en los procesos de planeación y presupuestación del Municipio;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los trabajos de las dependencias municipales en la materia que corresponda a sus atribuciones y con base en sus resultados y las necesidades operantes, proponer las medidas pertinentes para orientar la política municipal al respecto;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Citar a los titulares de las dependencias y entidades de la administración pública municipal, en los casos en que su comparecencia sea necesaria para el adecuado desempeño de sus atribuciones; y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Estudiar y, en su caso, proponer la celebración de convenios o contratos con la Federación, el Estado, los municipios o los particulares respecto de la materia que le corresponda en virtud de sus atribuciones.</w:t>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b w:val="1"/>
                <w:rtl w:val="0"/>
              </w:rPr>
              <w:t xml:space="preserve">Artículo 47.-</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Comisión Edilicia de Cultura</w:t>
            </w:r>
            <w:r w:rsidDel="00000000" w:rsidR="00000000" w:rsidRPr="00000000">
              <w:rPr>
                <w:rFonts w:ascii="Arial" w:cs="Arial" w:eastAsia="Arial" w:hAnsi="Arial"/>
                <w:rtl w:val="0"/>
              </w:rPr>
              <w:t xml:space="preserve"> tiene las siguientes atribuciones:</w:t>
            </w: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Proponer, analizar, estudiar y dictaminar las iniciativas tendientes a la promoción y fomento de la actividad cultural en el municipio; </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Procurar que dentro del municipio se promuevan acciones tendientes a la promoción de la cultura en todas sus manifestaciones, favoreciendo el acceso a las clases populares; y </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y valorar la información relativa a los planes y programas, así como de los gastos erogados en la materia.</w:t>
            </w:r>
          </w:p>
          <w:p w:rsidR="00000000" w:rsidDel="00000000" w:rsidP="00000000" w:rsidRDefault="00000000" w:rsidRPr="00000000" w14:paraId="0000007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D">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OBJETIVOS PRIORITARIOS DE LA COMISIÓN</w:t>
            </w:r>
            <w:r w:rsidDel="00000000" w:rsidR="00000000" w:rsidRPr="00000000">
              <w:rPr>
                <w:rtl w:val="0"/>
              </w:rPr>
            </w:r>
          </w:p>
          <w:p w:rsidR="00000000" w:rsidDel="00000000" w:rsidP="00000000" w:rsidRDefault="00000000" w:rsidRPr="00000000" w14:paraId="0000007E">
            <w:pP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7F">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OBJETIVOS GENERALES</w:t>
            </w:r>
            <w:r w:rsidDel="00000000" w:rsidR="00000000" w:rsidRPr="00000000">
              <w:rPr>
                <w:rtl w:val="0"/>
              </w:rPr>
            </w:r>
          </w:p>
          <w:p w:rsidR="00000000" w:rsidDel="00000000" w:rsidP="00000000" w:rsidRDefault="00000000" w:rsidRPr="00000000" w14:paraId="00000080">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Reglamento de las Sesiones de Ayuntamiento del Municipio de San Juan de los Lagos</w:t>
            </w:r>
            <w:r w:rsidDel="00000000" w:rsidR="00000000" w:rsidRPr="00000000">
              <w:rPr>
                <w:rtl w:val="0"/>
              </w:rPr>
            </w:r>
          </w:p>
          <w:p w:rsidR="00000000" w:rsidDel="00000000" w:rsidP="00000000" w:rsidRDefault="00000000" w:rsidRPr="00000000" w14:paraId="00000081">
            <w:pPr>
              <w:rPr>
                <w:rFonts w:ascii="Montserrat SemiBold" w:cs="Montserrat SemiBold" w:eastAsia="Montserrat SemiBold" w:hAnsi="Montserrat SemiBold"/>
                <w:sz w:val="22"/>
                <w:szCs w:val="22"/>
              </w:rPr>
            </w:pPr>
            <w:r w:rsidDel="00000000" w:rsidR="00000000" w:rsidRPr="00000000">
              <w:rPr>
                <w:rFonts w:ascii="Arial" w:cs="Arial" w:eastAsia="Arial" w:hAnsi="Arial"/>
                <w:b w:val="1"/>
                <w:rtl w:val="0"/>
              </w:rPr>
              <w:t xml:space="preserve">Artículo 41.-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 a conocer a los demás miembros los asuntos turnados a la comisión; </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Convocar por escrito a los integrantes a las sesiones de la comisión y levantar el acta correspondiente; </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las visitas, entrevistas y acciones necesarias para el estudio y dictamen de los asuntos turnado</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Tener a su cargo los documentos relacionados con los asuntos que se turnan para su estudio por la comisión edilicia que preside, y una vez dictaminados remitirlos a la Secretaría General para efecto de registro, archivo, guarda y protección de los mismos; </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Presentar por escrito, un informe anual pormenorizado de las actividades realizadas por la comisión edilicia que preside;</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Asistir puntualmente a las reuniones de las comisiones edilicias; y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Remitir detalladamente a la Secretaría General, los turnos y demás documentos inherentes, antes de concluir la administración municipal</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Fonts w:ascii="Montserrat SemiBold" w:cs="Montserrat SemiBold" w:eastAsia="Montserrat SemiBold" w:hAnsi="Montserrat SemiBold"/>
                <w:b w:val="0"/>
                <w:i w:val="0"/>
                <w:smallCaps w:val="0"/>
                <w:strike w:val="0"/>
                <w:color w:val="000000"/>
                <w:sz w:val="20"/>
                <w:szCs w:val="20"/>
                <w:u w:val="none"/>
                <w:shd w:fill="auto" w:val="clear"/>
                <w:vertAlign w:val="baseline"/>
                <w:rtl w:val="0"/>
              </w:rPr>
              <w:t xml:space="preserve">OBJETIVOS PARTICULARES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Fonts w:ascii="Montserrat SemiBold" w:cs="Montserrat SemiBold" w:eastAsia="Montserrat SemiBold" w:hAnsi="Montserrat SemiBold"/>
                <w:b w:val="0"/>
                <w:i w:val="0"/>
                <w:smallCaps w:val="0"/>
                <w:strike w:val="0"/>
                <w:color w:val="000000"/>
                <w:sz w:val="20"/>
                <w:szCs w:val="20"/>
                <w:u w:val="none"/>
                <w:shd w:fill="auto" w:val="clear"/>
                <w:vertAlign w:val="baseline"/>
                <w:rtl w:val="0"/>
              </w:rPr>
              <w:t xml:space="preserve">Llevar la Cultura fuera de casa de la misma.</w:t>
            </w:r>
          </w:p>
          <w:p w:rsidR="00000000" w:rsidDel="00000000" w:rsidP="00000000" w:rsidRDefault="00000000" w:rsidRPr="00000000" w14:paraId="0000008F">
            <w:pPr>
              <w:ind w:left="1800" w:firstLine="0"/>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color w:val="000000"/>
                <w:sz w:val="20"/>
                <w:szCs w:val="20"/>
                <w:rtl w:val="0"/>
              </w:rPr>
              <w:t xml:space="preserve">A la calle, esto es con presentaciones y exsiciones variadas. </w:t>
            </w:r>
            <w:r w:rsidDel="00000000" w:rsidR="00000000" w:rsidRPr="00000000">
              <w:rPr>
                <w:rtl w:val="0"/>
              </w:rPr>
            </w:r>
          </w:p>
          <w:p w:rsidR="00000000" w:rsidDel="00000000" w:rsidP="00000000" w:rsidRDefault="00000000" w:rsidRPr="00000000" w14:paraId="00000090">
            <w:pPr>
              <w:ind w:left="1800" w:firstLine="0"/>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color w:val="000000"/>
                <w:sz w:val="20"/>
                <w:szCs w:val="20"/>
                <w:rtl w:val="0"/>
              </w:rPr>
              <w:t xml:space="preserve">Lograr que en nuestro municipio haya interés por el arte , artesanía y la cultura. </w:t>
            </w:r>
            <w:r w:rsidDel="00000000" w:rsidR="00000000" w:rsidRPr="00000000">
              <w:rPr>
                <w:rtl w:val="0"/>
              </w:rPr>
            </w:r>
          </w:p>
          <w:p w:rsidR="00000000" w:rsidDel="00000000" w:rsidP="00000000" w:rsidRDefault="00000000" w:rsidRPr="00000000" w14:paraId="00000091">
            <w:pPr>
              <w:ind w:left="1800" w:firstLine="0"/>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color w:val="000000"/>
                <w:sz w:val="20"/>
                <w:szCs w:val="20"/>
                <w:rtl w:val="0"/>
              </w:rPr>
              <w:t xml:space="preserve">Fomentar en los niños, jóvenes y adultos una Cultura más sana y de unión intrafamiliar. </w:t>
            </w:r>
            <w:r w:rsidDel="00000000" w:rsidR="00000000" w:rsidRPr="00000000">
              <w:rPr>
                <w:rtl w:val="0"/>
              </w:rPr>
            </w:r>
          </w:p>
          <w:p w:rsidR="00000000" w:rsidDel="00000000" w:rsidP="00000000" w:rsidRDefault="00000000" w:rsidRPr="00000000" w14:paraId="00000092">
            <w:pPr>
              <w:ind w:left="1800" w:firstLine="0"/>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color w:val="000000"/>
                <w:sz w:val="20"/>
                <w:szCs w:val="20"/>
                <w:rtl w:val="0"/>
              </w:rPr>
              <w:t xml:space="preserve">“ LA RESPOSABILIDAD DE LA CULTURA ES DE TODOS “ ( Sociedad y Gobierno). </w:t>
            </w:r>
            <w:r w:rsidDel="00000000" w:rsidR="00000000" w:rsidRPr="00000000">
              <w:rPr>
                <w:rtl w:val="0"/>
              </w:rPr>
            </w:r>
          </w:p>
          <w:p w:rsidR="00000000" w:rsidDel="00000000" w:rsidP="00000000" w:rsidRDefault="00000000" w:rsidRPr="00000000" w14:paraId="00000093">
            <w:pPr>
              <w:ind w:left="1800" w:firstLine="0"/>
              <w:rPr>
                <w:rFonts w:ascii="Montserrat SemiBold" w:cs="Montserrat SemiBold" w:eastAsia="Montserrat SemiBold" w:hAnsi="Montserrat SemiBold"/>
                <w:sz w:val="20"/>
                <w:szCs w:val="20"/>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Fonts w:ascii="Montserrat SemiBold" w:cs="Montserrat SemiBold" w:eastAsia="Montserrat SemiBold" w:hAnsi="Montserrat SemiBold"/>
                <w:b w:val="0"/>
                <w:i w:val="0"/>
                <w:smallCaps w:val="0"/>
                <w:strike w:val="0"/>
                <w:color w:val="000000"/>
                <w:sz w:val="20"/>
                <w:szCs w:val="20"/>
                <w:u w:val="none"/>
                <w:shd w:fill="auto" w:val="clear"/>
                <w:vertAlign w:val="baseline"/>
                <w:rtl w:val="0"/>
              </w:rPr>
              <w:t xml:space="preserve">METODOLOGÍA DE APLICACIÓN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72.-</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Recibida la iniciativa por el Titular de la comisión, éste debe formular el proyecto de dictamen dentro del plazo de treinta días naturales, salvo que la iniciativa requiera, a juicio de la comisión de un plazo mayor, supuesto en el cual puede prorrogarse, cuidando siempre de respetar los plazos en que la comisión debe dictaminar. </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elaborado el proyecto de dictamen el Titular de la comisión, debe entregarlo a los integrantes de la misma a más tardar cuarenta y ocho horas antes de la reunión de comisión en que vaya a discutirse, conjuntamente con la citación a reunión de comisión. </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el proyecto presentado por el Titular es aprobado sin adiciones o reformas se tiene como resolución definitiva de la comisión. Si en la reunión de comisión en que se estudie este proyecto se aprueban modificaciones o adiciones al mismo, se procede a incorporarlas al dictamen. </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resoluciones de las comisiones se toman por mayoría de votos y, en caso de empate, el Titular tiene voto de calidad.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7">
            <w:pP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A8">
            <w:pP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A9">
            <w:pP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AA">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_____________________________________________</w:t>
            </w:r>
            <w:r w:rsidDel="00000000" w:rsidR="00000000" w:rsidRPr="00000000">
              <w:rPr>
                <w:rtl w:val="0"/>
              </w:rPr>
            </w:r>
          </w:p>
          <w:p w:rsidR="00000000" w:rsidDel="00000000" w:rsidP="00000000" w:rsidRDefault="00000000" w:rsidRPr="00000000" w14:paraId="000000AB">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DRA. LAURA ANGÉLICA CHÁVEZ CONTRERAS</w:t>
            </w:r>
            <w:r w:rsidDel="00000000" w:rsidR="00000000" w:rsidRPr="00000000">
              <w:rPr>
                <w:rtl w:val="0"/>
              </w:rPr>
            </w:r>
          </w:p>
          <w:p w:rsidR="00000000" w:rsidDel="00000000" w:rsidP="00000000" w:rsidRDefault="00000000" w:rsidRPr="00000000" w14:paraId="000000AC">
            <w:pPr>
              <w:jc w:val="center"/>
              <w:rPr>
                <w:rFonts w:ascii="Montserrat SemiBold" w:cs="Montserrat SemiBold" w:eastAsia="Montserrat SemiBold" w:hAnsi="Montserrat SemiBold"/>
                <w:sz w:val="22"/>
                <w:szCs w:val="22"/>
              </w:rPr>
            </w:pPr>
            <w:bookmarkStart w:colFirst="0" w:colLast="0" w:name="_gjdgxs" w:id="0"/>
            <w:bookmarkEnd w:id="0"/>
            <w:r w:rsidDel="00000000" w:rsidR="00000000" w:rsidRPr="00000000">
              <w:rPr>
                <w:rFonts w:ascii="Montserrat SemiBold" w:cs="Montserrat SemiBold" w:eastAsia="Montserrat SemiBold" w:hAnsi="Montserrat SemiBold"/>
                <w:rtl w:val="0"/>
              </w:rPr>
              <w:t xml:space="preserve">Titular de la Comisión de Cultura</w:t>
            </w:r>
            <w:r w:rsidDel="00000000" w:rsidR="00000000" w:rsidRPr="00000000">
              <w:rPr>
                <w:rtl w:val="0"/>
              </w:rPr>
            </w:r>
          </w:p>
          <w:p w:rsidR="00000000" w:rsidDel="00000000" w:rsidP="00000000" w:rsidRDefault="00000000" w:rsidRPr="00000000" w14:paraId="000000AD">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AE">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AF">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B0">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______________________________________</w:t>
            </w:r>
            <w:r w:rsidDel="00000000" w:rsidR="00000000" w:rsidRPr="00000000">
              <w:rPr>
                <w:rtl w:val="0"/>
              </w:rPr>
            </w:r>
          </w:p>
          <w:p w:rsidR="00000000" w:rsidDel="00000000" w:rsidP="00000000" w:rsidRDefault="00000000" w:rsidRPr="00000000" w14:paraId="000000B1">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color w:val="000000"/>
                <w:sz w:val="22"/>
                <w:szCs w:val="22"/>
                <w:rtl w:val="0"/>
              </w:rPr>
              <w:t xml:space="preserve">Maestra María Guadalupe Esqueda </w:t>
            </w:r>
            <w:r w:rsidDel="00000000" w:rsidR="00000000" w:rsidRPr="00000000">
              <w:rPr>
                <w:rtl w:val="0"/>
              </w:rPr>
            </w:r>
          </w:p>
          <w:p w:rsidR="00000000" w:rsidDel="00000000" w:rsidP="00000000" w:rsidRDefault="00000000" w:rsidRPr="00000000" w14:paraId="000000B2">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color w:val="000000"/>
                <w:sz w:val="22"/>
                <w:szCs w:val="22"/>
                <w:rtl w:val="0"/>
              </w:rPr>
              <w:t xml:space="preserve">Directora de Cultura </w:t>
            </w:r>
            <w:r w:rsidDel="00000000" w:rsidR="00000000" w:rsidRPr="00000000">
              <w:rPr>
                <w:rtl w:val="0"/>
              </w:rPr>
            </w:r>
          </w:p>
          <w:p w:rsidR="00000000" w:rsidDel="00000000" w:rsidP="00000000" w:rsidRDefault="00000000" w:rsidRPr="00000000" w14:paraId="000000B3">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rtl w:val="0"/>
              </w:rPr>
              <w:t xml:space="preserve">Vocal </w:t>
            </w:r>
            <w:r w:rsidDel="00000000" w:rsidR="00000000" w:rsidRPr="00000000">
              <w:rPr>
                <w:rtl w:val="0"/>
              </w:rPr>
            </w:r>
          </w:p>
          <w:p w:rsidR="00000000" w:rsidDel="00000000" w:rsidP="00000000" w:rsidRDefault="00000000" w:rsidRPr="00000000" w14:paraId="000000B4">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B5">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B6">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B7">
            <w:pPr>
              <w:jc w:val="center"/>
              <w:rPr>
                <w:rFonts w:ascii="Montserrat SemiBold" w:cs="Montserrat SemiBold" w:eastAsia="Montserrat SemiBold" w:hAnsi="Montserrat SemiBold"/>
                <w:sz w:val="22"/>
                <w:szCs w:val="22"/>
              </w:rPr>
            </w:pPr>
            <w:r w:rsidDel="00000000" w:rsidR="00000000" w:rsidRPr="00000000">
              <w:rPr>
                <w:rtl w:val="0"/>
              </w:rPr>
            </w:r>
          </w:p>
        </w:tc>
      </w:tr>
    </w:tbl>
    <w:p w:rsidR="00000000" w:rsidDel="00000000" w:rsidP="00000000" w:rsidRDefault="00000000" w:rsidRPr="00000000" w14:paraId="000000B8">
      <w:pPr>
        <w:rPr>
          <w:sz w:val="22"/>
          <w:szCs w:val="22"/>
        </w:rPr>
      </w:pP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80" w:hanging="72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80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