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 mc:Ignorable="w14 wp14">
  <w:body>
    <w:p>
      <w:pPr>
        <w:rPr>
          <w:sz w:val="22"/>
          <w:szCs w:val="22"/>
          <w:lang w:bidi="ar_SA" w:eastAsia="en_US" w:val="es_MX"/>
        </w:rPr>
      </w:pPr>
      <w:r>
        <w:rPr>
          <w:noProof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7.2pt;margin-top:-59.25pt;width:127.5pt;height:98.65pt;z-index:251659264;mso-position-horizontal-relative:text;mso-position-vertical-relative:text;mso-width-relative:page;mso-height-relative:page">
            <v:imagedata o:title="SAN JUAN DE LOS LAGOS_Mesa de trabajo 1" r:id="rId2"/>
          </v:shape>
        </w:pict>
      </w:r>
    </w:p>
    <w:p>
      <w:pPr>
        <w:rPr>
          <w:sz w:val="22"/>
          <w:szCs w:val="22"/>
          <w:lang w:bidi="ar_SA" w:eastAsia="en_US" w:val="es_MX"/>
        </w:rPr>
      </w:pPr>
    </w:p>
    <w:tbl>
      <w:tblPr>
        <w:tblStyle w:val="Tablaconcuadrcula"/>
        <w:tblW w:type="dxa" w:w="10065"/>
        <w:tblLook w:val="04A0"/>
      </w:tblPr>
      <w:tblGrid>
        <w:gridCol w:w="10065"/>
      </w:tblGrid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4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4"/>
              </w:rPr>
              <w:t>PLAN ANUAL DE TRABAJO 20</w:t>
            </w:r>
            <w:r>
              <w:rPr>
                <w:rFonts w:ascii="Montserrat SemiBold" w:hAnsi="Montserrat SemiBold"/>
                <w:vanish w:val="0"/>
                <w:color w:val="000000"/>
                <w:sz w:val="24"/>
                <w:szCs w:val="22"/>
                <w:rtl w:val="0"/>
                <w:lang w:val="es-MX"/>
              </w:rPr>
              <w:t>20</w:t>
            </w:r>
          </w:p>
          <w:p>
            <w:pPr>
              <w:jc w:val="center"/>
              <w:rPr>
                <w:rFonts w:ascii="Montserrat SemiBold" w:hAnsi="Montserrat SemiBold"/>
                <w:sz w:val="24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4"/>
              </w:rPr>
              <w:t>H. AYUNTAMIENTO DE SAN JUAN DE LOS LAGO</w:t>
            </w:r>
            <w:r>
              <w:rPr>
                <w:rFonts w:ascii="Montserrat SemiBold" w:hAnsi="Montserrat SemiBold"/>
                <w:sz w:val="24"/>
              </w:rPr>
              <w:t>S</w:t>
            </w:r>
            <w:r>
              <w:rPr>
                <w:rFonts w:ascii="Montserrat SemiBold" w:hAnsi="Montserrat SemiBold"/>
                <w:sz w:val="24"/>
              </w:rPr>
              <w:t>, JALISCO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  <w:shd w:color="000000" w:fill="3B3838" w:val="clear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8"/>
              </w:rPr>
              <w:t xml:space="preserve">COMISIÓN DE </w:t>
            </w:r>
            <w:r>
              <w:rPr>
                <w:rFonts w:ascii="Montserrat SemiBold" w:hAnsi="Montserrat SemiBold"/>
                <w:sz w:val="28"/>
              </w:rPr>
              <w:t>PARQUE VEHICULAR</w:t>
            </w: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La Comisión Edilicia de </w:t>
            </w:r>
            <w:r>
              <w:rPr>
                <w:rFonts w:ascii="Arial" w:hAnsi="Arial"/>
              </w:rPr>
              <w:t>Parque Vehicular</w:t>
            </w:r>
            <w:r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 integrante del Ayuntamiento Constitucional para el periodo 2018 – 2021</w:t>
            </w:r>
            <w:r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presenta el Plan de Trabajo </w:t>
            </w:r>
            <w:r>
              <w:rPr>
                <w:rFonts w:ascii="Arial" w:hAnsi="Arial"/>
              </w:rPr>
              <w:t>de acuerdo a sus atribuciones conferidas e</w:t>
            </w:r>
            <w:r>
              <w:rPr>
                <w:rFonts w:ascii="Arial" w:hAnsi="Arial"/>
              </w:rPr>
              <w:t xml:space="preserve">n la Ley de Gobierno y Administración Pública del Estado de Jalisco y sus Municipios, </w:t>
            </w:r>
            <w:r>
              <w:rPr>
                <w:rFonts w:ascii="Arial" w:hAnsi="Arial"/>
              </w:rPr>
              <w:t>y la Ley de Transparencia y Acceso a la Información Pública del Estado de Jalisco</w:t>
            </w:r>
            <w:r>
              <w:rPr>
                <w:rFonts w:ascii="Arial" w:hAnsi="Arial"/>
              </w:rPr>
              <w:t xml:space="preserve"> y sus Municipios.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bookmarkStart w:id="0" w:name="_GoBack"/>
            <w:bookmarkEnd w:id="0"/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MARCO NORMATIVO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Constitución Política del Estado de Jalisco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Artículo 77.- Los ayuntamientos tendrán facultades para aprobar, de acuerdo con las leyes en materia </w:t>
            </w:r>
            <w:r>
              <w:rPr>
                <w:rFonts w:ascii="Arial" w:hAnsi="Arial"/>
              </w:rPr>
              <w:t>municipal que expida el Congreso del Estado:</w:t>
            </w:r>
          </w:p>
          <w:p>
            <w:pPr>
              <w:ind w:left="459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I. Los bandos de policía y gobierno;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II. Los reglamentos, circulares y disposiciones administrativas de observancia general dentro de sus respectivas jurisdicciones, con el objeto de: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a) Organizar la administración pública municipal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b) Regular las materias, procedimientos, funciones y servicios públicos de su competencia; 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c) Asegurar la participación ciudadana y vecinal</w:t>
            </w:r>
            <w:r>
              <w:rPr>
                <w:rFonts w:ascii="Arial" w:hAnsi="Arial"/>
              </w:rPr>
              <w:t>;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III. Los reglamentos y disposiciones administrativas que fueren necesarios para cumplir los fines señalados en el párrafo tercero del artículo 27 de la Constitución Política de los Estados Unidos Mexicanos; y</w:t>
            </w:r>
          </w:p>
          <w:p>
            <w:pPr>
              <w:ind w:left="360"/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IV. Los reglamentos que normen la creación y supresión de los empleos públicos municipales y las condiciones y relaciones de trabajo entre el municipio y sus servidores públicos.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Gobierno y Administración Pública del Estado de Jalisco y sus Municipios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27</w:t>
            </w:r>
            <w:r>
              <w:rPr>
                <w:rFonts w:ascii="Arial" w:hAnsi="Arial"/>
              </w:rPr>
              <w:t>. Los Ayuntamientos, para el estudio, vigilancia y atención de los diversos asuntos que les corresponda conocer, deben funcionar mediante comisiones.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38</w:t>
            </w:r>
            <w:r>
              <w:rPr>
                <w:rFonts w:ascii="Arial" w:hAnsi="Arial"/>
              </w:rPr>
              <w:t>. Son facultades de los Ayuntamientos: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Proponer ante el Congreso del Estado, iniciativas de leyes o decretos en materias municipales;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Celebrar convenios con organismos públicos y privados tendientes a la realización de obras de interés común, siempre que no corresponda su realización al Estado, así como celebrar contratos de asociación público-privada para el desarrollo de proyectos de </w:t>
            </w:r>
            <w:r>
              <w:rPr>
                <w:rFonts w:ascii="Arial" w:hAnsi="Arial"/>
              </w:rPr>
              <w:t>inversión en infraestructura o de prestación de servicios o funciones, en los términos establecidos en la legislación que regula la materia;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Adquirir bienes en cualquiera de las formas previstas por la Ley</w:t>
            </w:r>
            <w:r>
              <w:rPr>
                <w:rFonts w:ascii="Arial" w:hAnsi="Arial"/>
                <w:b w:val="1"/>
              </w:rPr>
              <w:t>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Crear los empleos públicos, así como las dependencias y entidades que se estimen necesarias para cumplir con sus fines;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Celebrar convenios con el Poder Ejecutivo del Estado a fin de que éste, de manera directa o a través del organismo correspondiente, se haga cargo en forma temporal de alguna de las funciones o servicios que los municipios tengan a su cargo o se ejerzan coordinadamente por el Poder Ejecutivo del Estado y el propio Municipio;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Celebrar convenios de coordinación y asociación con otros Municipios para la más eficaz prestación de los servicios públicos o el mejor ejercicio de las funciones que les corresponden.</w:t>
            </w:r>
          </w:p>
          <w:p>
            <w:pPr>
              <w:pStyle w:val="Prrafodelista"/>
              <w:numPr>
                <w:ilvl w:val="0"/>
                <w:numId w:val="3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Tratándose de la asociación de los municipios de dos o más Estados, deben contar con la aprobación de las legislaturas de los estados respectivas;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Señalar las garantías que en su caso deban otorgar los servidores públicos municipales que designe, para responder por el ejercicio de sus funciones;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Fomentar la participación ciudadana y vecinal a través de los mecanismos y figuras que para tal efecto establezcan en sus ordenamientos municipales;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Implementar instrumentos para la modernización administrativa y la mejora regulatoria;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Contribuir a la generación de empleos dentro del Municipio;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Promover el registro y difusión del acontecer histórico y las tradiciones del Municipio, a través de las dependencias, órganos o entidades correspondientes, en los términos de la reglamentación respectiva; y</w:t>
            </w:r>
          </w:p>
          <w:p>
            <w:pPr>
              <w:pStyle w:val="Prrafodelista"/>
              <w:numPr>
                <w:ilvl w:val="0"/>
                <w:numId w:val="4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eastAsia="es-MX"/>
              </w:rPr>
            </w:pPr>
            <w:r>
              <w:rPr>
                <w:rFonts w:ascii="Arial" w:hAnsi="Arial"/>
              </w:rPr>
              <w:t>Las demás que les establezcan la Constitución Federal, Estatal y demás leyes, tanto federales y locales, y reglamentos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Transparencia y Acceso a la información pública del Estado de Jalisco y sus Municipios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 xml:space="preserve">Artículo 15. </w:t>
            </w:r>
            <w:r>
              <w:rPr>
                <w:rFonts w:ascii="Arial" w:hAnsi="Arial"/>
              </w:rPr>
              <w:t>Información fundamental – Ayuntamientos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VII. Los programas de trabajo de las comisiones edilicias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ind w:left="360"/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OBLIGACIONES Y ATRIBUCIONES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Ley de Gobierno y Administración Pública del Estado de Jalisco y sus Municipios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  <w:bCs w:val="1"/>
              </w:rPr>
              <w:t>Artículo 37</w:t>
            </w:r>
            <w:r>
              <w:rPr>
                <w:rFonts w:ascii="Arial" w:hAnsi="Arial"/>
              </w:rPr>
              <w:t>. Son obligaciones de los Ayuntamientos, las siguientes: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al Congreso del Estado, las iniciativas de sus leyes de ingresos antes del día 31 de Agosto de cada año; en caso de no hacerlo, se tomarán como iniciativas las leyes que hubiesen regido durante el año fiscal inmediato anterior. Los Ayuntamientos pueden solicitar al Congreso del Estado las ampliaciones que a su juicio ameriten sus leyes de ingresos ya aprobadas.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Los munícipes que incumplan esta obligación, incurrirán en responsabilidad, en los términos de la ley estatal en materia de responsabilidades de los servidores públicos;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Aprobar y aplicar su presupuesto de egresos, bandos de policía y gobierno, reglamentos, circulares y disposiciones administrativas de observancia general que organicen la administración pública municipal, regulen las materias, procedimientos, funciones y servicios públicos de su competencia y aseguren la participación ciudadana y vecinal;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Remitir a la Auditoría Superior a más tardar el día veinte de cada mes, la cuenta detallada de los movimiento de fondos ocurridos en el mes anterior; a más tardar el día último de julio, el corte del primer semestre; y a más tardar el día último de febrero, el corte general del año inmediato anterior;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Conservar y acrecentar los bienes materiales del Municipio y llevar el Registro Público de Bienes Municipales, en el que se señalen los bienes del dominio público y del dominio privado del Municipio y de sus entidades;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Cuidar de la prestación de todos los servicios públicos de su competencia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Observar las disposiciones de las leyes federales y estatales en el desempeño de las funciones o en la prestación de los servicios a su cargo;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Cumplir las disposiciones federales y estatales en materia de protección civil;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Expedir y aplicar los reglamentos relativos a la prestación de los servicios de agua potable, drenaje, alcantarillado, tratamiento y disposición de aguas residuales, conforme a las </w:t>
            </w:r>
            <w:r>
              <w:rPr>
                <w:rFonts w:ascii="Arial" w:hAnsi="Arial"/>
              </w:rPr>
              <w:t>bases generales definidas por las leyes federales y estatales en la materia;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Apoyar la educación, la cultura, la asistencia social y demás funciones públicas en la forma que las leyes y reglamentos de la materia dispongan;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Atender la seguridad en todo el Municipio y dictar las medidas tendientes</w:t>
            </w:r>
            <w:r>
              <w:rPr>
                <w:rFonts w:ascii="Arial" w:hAnsi="Arial"/>
              </w:rPr>
              <w:t xml:space="preserve"> a mantener la seguridad, el orden público y la preservación de los derechos humanos;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Realizar la fiscalización y evaluación de la administración pública municipal, mediante los órganos, dependencias o en</w:t>
            </w:r>
            <w:r>
              <w:rPr>
                <w:rFonts w:ascii="Arial" w:hAnsi="Arial"/>
              </w:rPr>
              <w:t>tidades creadas para tal efecto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Realizar las funciones del Registro Civil;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Regular los procedimientos internos, para la adquisición de bienes o la contratación de servicios, asegurando que cubran las mejores condiciones de precio, calidad, financiamiento, oportunidad y demás condiciones pertinentes y evitando que esos actos se realicen en beneficio de servidores públicos del propio Municipio, a la par de fomentar la transparencia y la participación ciudadana en la vigilancia del uso de los recursos públicos;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Formular, evaluar y revisar el Programa Municipal de</w:t>
            </w:r>
            <w:r>
              <w:rPr>
                <w:rFonts w:ascii="Arial" w:hAnsi="Arial"/>
              </w:rPr>
              <w:t xml:space="preserve"> Desarrollo Urbano y los planes de desarrollo urbano de centros de población, en los términos de las disposiciones legales y reglamentarias aplicables. Los citados instrumentos deben observarse en la zonificación, el otorgamiento de licencias y permisos de construcción y en el ejercicio de las demás atribuciones que en materia de desarrollo urbano detenta la autoridad municipal;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Ejercer en coordinación con la Federación y el Gobierno del Estado, en el ámbito de su competencia, sus atribuciones en materia de prevención, atención, sanción y erradicación de la violencia contra las mujeres; y</w:t>
            </w:r>
          </w:p>
          <w:p>
            <w:pPr>
              <w:pStyle w:val="Prrafodelista"/>
              <w:numPr>
                <w:ilvl w:val="0"/>
                <w:numId w:val="6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Las demás que les establezcan las Constituciones Federal, Estatal y demás leyes, tanto federales como locales, y reglamentos.</w:t>
            </w:r>
          </w:p>
          <w:p>
            <w:pPr>
              <w:pStyle w:val="Prrafodelista"/>
              <w:ind w:left="1080"/>
              <w:jc w:val="both"/>
              <w:rPr>
                <w:rStyle w:val="Normal"/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Reglamento de las Sesiones de Ayuntamiento</w:t>
            </w:r>
            <w:r>
              <w:rPr>
                <w:rFonts w:ascii="Arial" w:hAnsi="Arial"/>
                <w:b w:val="1"/>
                <w:lang w:eastAsia="es-MX"/>
              </w:rPr>
              <w:t xml:space="preserve"> del Municipio de San Juan de los Lagos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eastAsia="es-MX"/>
              </w:rPr>
            </w:pP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Artículo 34.- </w:t>
            </w:r>
            <w:r>
              <w:rPr>
                <w:rFonts w:ascii="Arial" w:hAnsi="Arial"/>
              </w:rPr>
              <w:t xml:space="preserve"> Las comisiones edilicias tienen las siguientes atribuciones: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Recibir, estudiar, analizar, discutir y dictaminar los asuntos turnados por el Ayuntamiento;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Presentar al Ayuntamiento los dictámenes e informes, resultados de sus trabajos e investigaciones y demás documentos relativos a los asuntos que les son turnados;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Participar del control y evaluación de los ramos de la actividad pública municipal que correspondan a sus atribuciones, mediante la presentación de informes y la participación en los procesos de planeación y </w:t>
            </w:r>
            <w:r>
              <w:rPr>
                <w:rFonts w:ascii="Arial" w:hAnsi="Arial"/>
              </w:rPr>
              <w:t>presupuestación</w:t>
            </w:r>
            <w:r>
              <w:rPr>
                <w:rFonts w:ascii="Arial" w:hAnsi="Arial"/>
              </w:rPr>
              <w:t xml:space="preserve"> del Municipio;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Evaluar los trabajos de las dependencias municipales en la materia que corresponda a sus atribuciones y con base en sus resultados y las necesidades operantes, proponer las medidas pertinentes para orientar la política municipal al respecto;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Citar a los titulares de las dependencias y entidades de la administración pública municipal, en los casos en que su comparecencia sea necesaria para el adecuado desempeño de sus atribuciones; y </w:t>
            </w:r>
          </w:p>
          <w:p>
            <w:pPr>
              <w:pStyle w:val="Prrafodelista"/>
              <w:numPr>
                <w:ilvl w:val="0"/>
                <w:numId w:val="8"/>
              </w:numPr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Estudiar y, en su caso, proponer la celebración de convenios o contratos con la Federación, el Estado, los municipios o los particulares respecto de la materia que le corresponda en virtud de sus atribuciones.</w:t>
            </w:r>
          </w:p>
          <w:p>
            <w:p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</w:p>
          <w:p>
            <w:pPr>
              <w:jc w:val="both"/>
              <w:rPr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color w:val="000000"/>
              </w:rPr>
              <w:t xml:space="preserve">La </w:t>
            </w:r>
            <w:r>
              <w:rPr>
                <w:rFonts w:ascii="Arial" w:hAnsi="Arial"/>
                <w:b w:val="1"/>
                <w:color w:val="000000"/>
              </w:rPr>
              <w:t>Comisión Edilicia de Parque Vehicular</w:t>
            </w:r>
            <w:r>
              <w:rPr>
                <w:rFonts w:ascii="Arial" w:hAnsi="Arial"/>
                <w:color w:val="000000"/>
              </w:rPr>
              <w:t xml:space="preserve"> tiene las siguientes atribuciones: </w:t>
            </w:r>
          </w:p>
          <w:p>
            <w:pPr>
              <w:jc w:val="both"/>
              <w:rPr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</w:p>
          <w:p>
            <w:pPr>
              <w:pStyle w:val="Prrafodelista"/>
              <w:numPr>
                <w:ilvl w:val="0"/>
                <w:numId w:val="28"/>
              </w:numPr>
              <w:jc w:val="both"/>
              <w:rPr>
                <w:rStyle w:val="Normal"/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color w:val="000000"/>
              </w:rPr>
              <w:t>Realizar un inventario pormenorizado de todos los vehículos propiedad del Ayuntamiento; y</w:t>
            </w:r>
          </w:p>
          <w:p>
            <w:pPr>
              <w:jc w:val="both"/>
              <w:rPr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</w:p>
          <w:p>
            <w:pPr>
              <w:pStyle w:val="Prrafodelista"/>
              <w:numPr>
                <w:ilvl w:val="0"/>
                <w:numId w:val="28"/>
              </w:numPr>
              <w:jc w:val="both"/>
              <w:rPr>
                <w:rStyle w:val="Normal"/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color w:val="000000"/>
              </w:rPr>
              <w:t>Solicitar al presidente municipal la renovación de parque vehicular, que sea necesario para el buen desempeño de las dependencias municipales, previa justificación del mismo.</w:t>
            </w:r>
          </w:p>
          <w:p>
            <w:pPr>
              <w:jc w:val="both"/>
              <w:rPr>
                <w:rFonts w:ascii="Arial" w:hAnsi="Arial"/>
                <w:color w:val="000000"/>
                <w:sz w:val="22"/>
                <w:szCs w:val="22"/>
                <w:lang w:bidi="ar_SA" w:eastAsia="en_US" w:val="es_MX"/>
              </w:rPr>
            </w:pPr>
          </w:p>
          <w:p>
            <w:pPr>
              <w:pStyle w:val="Prrafodelista"/>
              <w:ind w:left="1080"/>
              <w:jc w:val="both"/>
              <w:rPr>
                <w:rStyle w:val="Normal"/>
                <w:rFonts w:ascii="Arial" w:hAnsi="Arial"/>
                <w:sz w:val="22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OBJETIVOS PRIORITARIOS DE LA COMISIÓN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OBJETIVOS GENERALES</w:t>
            </w:r>
          </w:p>
          <w:p>
            <w:pPr>
              <w:jc w:val="both"/>
              <w:rPr>
                <w:rFonts w:ascii="Arial" w:hAnsi="Arial"/>
                <w:b w:val="1"/>
                <w:sz w:val="22"/>
                <w:szCs w:val="22"/>
                <w:lang w:eastAsia="es-MX"/>
              </w:rPr>
            </w:pPr>
            <w:r>
              <w:rPr>
                <w:rFonts w:ascii="Arial" w:hAnsi="Arial"/>
                <w:b w:val="1"/>
                <w:lang w:eastAsia="es-MX"/>
              </w:rPr>
              <w:t>Reglamento de las Sesiones de Ayuntamiento</w:t>
            </w:r>
            <w:r>
              <w:rPr>
                <w:rFonts w:ascii="Arial" w:hAnsi="Arial"/>
                <w:b w:val="1"/>
                <w:lang w:eastAsia="es-MX"/>
              </w:rPr>
              <w:t xml:space="preserve"> del Municipio de San Juan de los Lagos</w:t>
            </w: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Artículo 41.-</w:t>
            </w:r>
            <w:r>
              <w:rPr>
                <w:rFonts w:ascii="Arial" w:hAnsi="Arial"/>
                <w:b w:val="1"/>
              </w:rPr>
              <w:t xml:space="preserve">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Dar a conocer a los demás miembros los asuntos turnados a la comisión;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Convocar por escrito a los integrantes a las sesiones de la comisión y levantar el acta correspondiente;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Promover las visitas, entrevistas y acciones necesarias para el estudio y dictamen de los asuntos turnado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Entregar a todos y cada uno de los munícipes, una copia del proyecto de dictamen con una anticipación de cuarenta y ocho horas previas a la celebración de la reunión de comisión en que se discutirá el mismo, salvo en aquellos casos urgentes a su criterio, en que se entreguen en el momento mismo de la reunión;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al Ayuntamiento, a través de la Secretaría General, los acuerdos, resoluciones o dictámenes de los asuntos que competan a su comisión edilicia, con una anticipación de setenta y dos horas a la fecha de que tenga verificativo la sesión, en que el asunto se vaya a tratar;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Tener a su cargo los documentos relacionados con los asuntos que se turnan para su estudio por la comisión edilicia que preside, y una vez dictaminados remitirlos a la Secretaría General para efecto de registro, archivo, guarda y protección de los mismos;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Presentar por escrito, un informe anual pormenorizado de las actividades realizadas por la comisión edilicia que preside;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Asistir puntualmente a las reuniones de las comisiones edilicias; y </w:t>
            </w:r>
          </w:p>
          <w:p>
            <w:pPr>
              <w:pStyle w:val="Sinespaciado"/>
              <w:numPr>
                <w:ilvl w:val="0"/>
                <w:numId w:val="12"/>
              </w:numPr>
              <w:jc w:val="both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Remitir detalladamente a la Secretaría General, los turnos y demás documentos inherentes, antes de concluir la administración municipal</w:t>
            </w: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0"/>
              </w:rPr>
              <w:t>OBJETIVOS PARTICULARES</w:t>
            </w: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1800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sz w:val="20"/>
              </w:rPr>
              <w:t xml:space="preserve">METODOLOGÍA </w:t>
            </w:r>
            <w:r>
              <w:rPr>
                <w:rFonts w:ascii="Montserrat SemiBold" w:hAnsi="Montserrat SemiBold"/>
                <w:sz w:val="20"/>
              </w:rPr>
              <w:t>DE APLICACIÓN</w:t>
            </w:r>
          </w:p>
          <w:p>
            <w:pPr>
              <w:pStyle w:val="Sinespaciado"/>
              <w:jc w:val="center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Arial" w:hAnsi="Arial"/>
                <w:b w:val="1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  <w:b w:val="1"/>
              </w:rPr>
              <w:t>Artículo 72.-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Recibida la iniciativa por el Titular de la comisión, éste debe formular el proyecto de dictamen dentro del plazo de treinta días naturales, salvo que la iniciativa requiera, a juicio de la comisión de un plazo mayor, supuesto en el cual puede prorrogarse, cuidando siempre de respetar los plazos en que la comisión debe dictaminar.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Una vez elaborado el proyecto de dictamen el Titular de la comisión, debe entregarlo a los integrantes de la misma a más tardar cuarenta y ocho horas antes de la reunión de comisión en que vaya a discutirse, conjuntamente con la citación a reunión de comisión.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 xml:space="preserve">Si el proyecto presentado por el Titular es aprobado sin adiciones o reformas se tiene como resolución definitiva de la comisión. Si en la reunión de comisión en que se estudie este proyecto se aprueban modificaciones o adiciones al mismo, se procede a incorporarlas al dictamen. </w:t>
            </w:r>
          </w:p>
          <w:p>
            <w:pPr>
              <w:pStyle w:val="Sinespaciado"/>
              <w:numPr>
                <w:ilvl w:val="0"/>
                <w:numId w:val="18"/>
              </w:numPr>
              <w:jc w:val="both"/>
              <w:rPr>
                <w:rFonts w:ascii="Arial" w:hAnsi="Arial"/>
                <w:sz w:val="22"/>
                <w:szCs w:val="22"/>
                <w:lang w:bidi="ar_SA" w:eastAsia="en_US" w:val="es_MX"/>
              </w:rPr>
            </w:pPr>
            <w:r>
              <w:rPr>
                <w:rFonts w:ascii="Arial" w:hAnsi="Arial"/>
              </w:rPr>
              <w:t>Las resoluciones de las comisiones se toman por mayoría de votos y, en caso de empate, el Titular tiene voto de calidad.</w:t>
            </w: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ind w:left="780"/>
              <w:jc w:val="both"/>
              <w:rPr>
                <w:color w:val="000000"/>
                <w:sz w:val="22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  <w:p>
            <w:pPr>
              <w:pStyle w:val="Sinespaciado"/>
              <w:rPr>
                <w:rFonts w:ascii="Montserrat SemiBold" w:hAnsi="Montserrat SemiBold"/>
                <w:sz w:val="20"/>
                <w:szCs w:val="22"/>
                <w:lang w:bidi="ar_SA" w:eastAsia="en_US" w:val="es_MX"/>
              </w:rPr>
            </w:pPr>
          </w:p>
        </w:tc>
      </w:tr>
      <w:tr>
        <w:tc>
          <w:tcPr>
            <w:tcW w:type="dxa" w:w="10065"/>
          </w:tcPr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________</w:t>
            </w:r>
            <w:r>
              <w:rPr>
                <w:rFonts w:ascii="Montserrat SemiBold" w:hAnsi="Montserrat SemiBold"/>
              </w:rPr>
              <w:t>______</w:t>
            </w:r>
            <w:r>
              <w:rPr>
                <w:rFonts w:ascii="Montserrat SemiBold" w:hAnsi="Montserrat SemiBold"/>
              </w:rPr>
              <w:t>____________________</w:t>
            </w:r>
            <w:r>
              <w:rPr>
                <w:rFonts w:ascii="Montserrat SemiBold" w:hAnsi="Montserrat SemiBold"/>
              </w:rPr>
              <w:t>______</w:t>
            </w:r>
            <w:r>
              <w:rPr>
                <w:rFonts w:ascii="Montserrat SemiBold" w:hAnsi="Montserrat SemiBold"/>
              </w:rPr>
              <w:t>_____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DRA. LAURA ANGÉLICA CHÁVEZ CONTRERAS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Titular</w:t>
            </w:r>
            <w:r>
              <w:rPr>
                <w:rFonts w:ascii="Montserrat SemiBold" w:hAnsi="Montserrat SemiBold"/>
              </w:rPr>
              <w:t xml:space="preserve"> de la Comisión de </w:t>
            </w:r>
            <w:r>
              <w:rPr>
                <w:rFonts w:ascii="Montserrat SemiBold" w:hAnsi="Montserrat SemiBold"/>
              </w:rPr>
              <w:t>Parque Vehicular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>______________________________________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José Luis Cruz </w:t>
            </w: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García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  <w:vanish w:val="0"/>
                <w:color w:val="000000"/>
                <w:sz w:val="22"/>
                <w:szCs w:val="22"/>
                <w:rtl w:val="0"/>
                <w:lang w:val="es-MX"/>
              </w:rPr>
              <w:t xml:space="preserve">Director de Parque Vehicular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  <w:r>
              <w:rPr>
                <w:rFonts w:ascii="Montserrat SemiBold" w:hAnsi="Montserrat SemiBold"/>
              </w:rPr>
              <w:t xml:space="preserve">Vocal </w:t>
            </w: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  <w:p>
            <w:pPr>
              <w:jc w:val="center"/>
              <w:rPr>
                <w:rFonts w:ascii="Montserrat SemiBold" w:hAnsi="Montserrat SemiBold"/>
                <w:sz w:val="22"/>
                <w:szCs w:val="22"/>
                <w:lang w:bidi="ar_SA" w:eastAsia="en_US" w:val="es_MX"/>
              </w:rPr>
            </w:pPr>
          </w:p>
        </w:tc>
      </w:tr>
    </w:tbl>
    <w:p>
      <w:pPr>
        <w:rPr>
          <w:sz w:val="22"/>
          <w:szCs w:val="22"/>
          <w:lang w:bidi="ar_SA" w:eastAsia="en_US" w:val="es_MX"/>
        </w:rPr>
      </w:pPr>
    </w:p>
    <w:sectPr>
      <w:footerReference w:type="default" r:id="rId3"/>
      <w:pgSz w:h="15840" w:w="12240"/>
      <w:pgMar w:bottom="1417" w:footer="708" w:gutter="0" w:header="708" w:left="1701" w:right="1701" w:top="14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69B" w:rsidRDefault="00AC269B" w:rsidP="00AC269B">
      <w:pPr>
        <w:spacing w:after="0" w:line="240" w:lineRule="auto"/>
      </w:pPr>
      <w:r>
        <w:separator/>
      </w:r>
    </w:p>
  </w:endnote>
  <w:endnote w:type="continuationSeparator" w:id="0">
    <w:p w:rsidR="00AC269B" w:rsidRDefault="00AC269B" w:rsidP="00AC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Bold"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865176"/>
      <w:docPartObj>
        <w:docPartGallery w:val="Page Numbers (Bottom of Page)"/>
        <w:docPartUnique/>
      </w:docPartObj>
    </w:sdtPr>
    <w:sdtEndPr/>
    <w:sdtContent>
      <w:p w:rsidR="00AC269B" w:rsidRDefault="00AC269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41B" w:rsidRPr="0005441B">
          <w:rPr>
            <w:noProof/>
            <w:lang w:val="es-ES"/>
          </w:rPr>
          <w:t>2</w:t>
        </w:r>
        <w:r>
          <w:fldChar w:fldCharType="end"/>
        </w:r>
      </w:p>
    </w:sdtContent>
  </w:sdt>
  <w:p w:rsidR="00AC269B" w:rsidRDefault="00AC26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69B" w:rsidRDefault="00AC269B" w:rsidP="00AC269B">
      <w:pPr>
        <w:spacing w:after="0" w:line="240" w:lineRule="auto"/>
      </w:pPr>
      <w:r>
        <w:separator/>
      </w:r>
    </w:p>
  </w:footnote>
  <w:footnote w:type="continuationSeparator" w:id="0">
    <w:p w:rsidR="00AC269B" w:rsidRDefault="00AC269B" w:rsidP="00AC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abstractNum w:abstractNumId="0">
    <w:multiLevelType w:val="hybridMultilevel"/>
    <w:tmpl w:val="2392EEE6"/>
    <w:numStyleLink w:val=""/>
    <w:lvl w:ilvl="0">
      <w:start w:val="5"/>
      <w:numFmt w:val="upperRoman"/>
      <w:lvlText w:val="%1."/>
      <w:lvlJc w:val="left"/>
      <w:pPr>
        <w:ind w:hanging="720" w:left="1800"/>
      </w:pPr>
    </w:lvl>
    <w:lvl w:ilvl="1">
      <w:start w:val="1"/>
      <w:numFmt w:val="lowerLetter"/>
      <w:lvlText w:val="%2."/>
      <w:lvlJc w:val="left"/>
      <w:pPr>
        <w:ind w:hanging="360" w:left="2160"/>
      </w:pPr>
    </w:lvl>
    <w:lvl w:ilvl="2">
      <w:start w:val="1"/>
      <w:numFmt w:val="lowerRoman"/>
      <w:lvlText w:val="%3."/>
      <w:lvlJc w:val="right"/>
      <w:pPr>
        <w:ind w:hanging="180" w:left="2880"/>
      </w:pPr>
    </w:lvl>
    <w:lvl w:ilvl="3">
      <w:start w:val="1"/>
      <w:numFmt w:val="decimal"/>
      <w:lvlText w:val="%4."/>
      <w:lvlJc w:val="left"/>
      <w:pPr>
        <w:ind w:hanging="360" w:left="3600"/>
      </w:pPr>
    </w:lvl>
    <w:lvl w:ilvl="4">
      <w:start w:val="1"/>
      <w:numFmt w:val="lowerLetter"/>
      <w:lvlText w:val="%5."/>
      <w:lvlJc w:val="left"/>
      <w:pPr>
        <w:ind w:hanging="360" w:left="4320"/>
      </w:pPr>
    </w:lvl>
    <w:lvl w:ilvl="5">
      <w:start w:val="1"/>
      <w:numFmt w:val="lowerRoman"/>
      <w:lvlText w:val="%6."/>
      <w:lvlJc w:val="right"/>
      <w:pPr>
        <w:ind w:hanging="180" w:left="5040"/>
      </w:pPr>
    </w:lvl>
    <w:lvl w:ilvl="6">
      <w:start w:val="1"/>
      <w:numFmt w:val="decimal"/>
      <w:lvlText w:val="%7."/>
      <w:lvlJc w:val="left"/>
      <w:pPr>
        <w:ind w:hanging="360" w:left="5760"/>
      </w:pPr>
    </w:lvl>
    <w:lvl w:ilvl="7">
      <w:start w:val="1"/>
      <w:numFmt w:val="lowerLetter"/>
      <w:lvlText w:val="%8."/>
      <w:lvlJc w:val="left"/>
      <w:pPr>
        <w:ind w:hanging="360" w:left="6480"/>
      </w:pPr>
    </w:lvl>
    <w:lvl w:ilvl="8">
      <w:start w:val="1"/>
      <w:numFmt w:val="lowerRoman"/>
      <w:lvlText w:val="%9."/>
      <w:lvlJc w:val="right"/>
      <w:pPr>
        <w:ind w:hanging="180" w:left="7200"/>
      </w:pPr>
    </w:lvl>
  </w:abstractNum>
  <w:abstractNum w:abstractNumId="1">
    <w:multiLevelType w:val="hybridMultilevel"/>
    <w:tmpl w:val="AB86AB64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multiLevelType w:val="hybridMultilevel"/>
    <w:tmpl w:val="08EC9C82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multiLevelType w:val="hybridMultilevel"/>
    <w:tmpl w:val="840A097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multiLevelType w:val="hybridMultilevel"/>
    <w:tmpl w:val="CEF4E8C4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multiLevelType w:val="hybridMultilevel"/>
    <w:tmpl w:val="8542D052"/>
    <w:numStyleLink w:val=""/>
    <w:lvl w:ilvl="0">
      <w:start w:val="5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6">
    <w:multiLevelType w:val="hybridMultilevel"/>
    <w:tmpl w:val="EA92A334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abstractNum w:abstractNumId="7">
    <w:multiLevelType w:val="hybridMultilevel"/>
    <w:tmpl w:val="EF0AE7E4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8">
    <w:multiLevelType w:val="hybridMultilevel"/>
    <w:tmpl w:val="EC56266C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multiLevelType w:val="hybridMultilevel"/>
    <w:tmpl w:val="DCCAC7B8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multiLevelType w:val="hybridMultilevel"/>
    <w:tmpl w:val="FF285FE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1">
    <w:multiLevelType w:val="hybridMultilevel"/>
    <w:tmpl w:val="CA68A48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2">
    <w:multiLevelType w:val="hybridMultilevel"/>
    <w:tmpl w:val="CE30C088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3">
    <w:multiLevelType w:val="hybridMultilevel"/>
    <w:tmpl w:val="1B90EBE6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4">
    <w:multiLevelType w:val="hybridMultilevel"/>
    <w:tmpl w:val="47B442E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5">
    <w:multiLevelType w:val="hybridMultilevel"/>
    <w:tmpl w:val="A4A03B6E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6">
    <w:multiLevelType w:val="hybridMultilevel"/>
    <w:tmpl w:val="DDBE5EF2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7">
    <w:multiLevelType w:val="hybridMultilevel"/>
    <w:tmpl w:val="9CEED88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8">
    <w:multiLevelType w:val="hybridMultilevel"/>
    <w:tmpl w:val="A6C2EA0A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9">
    <w:multiLevelType w:val="hybridMultilevel"/>
    <w:tmpl w:val="6888836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0">
    <w:multiLevelType w:val="hybridMultilevel"/>
    <w:tmpl w:val="157C88B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1">
    <w:multiLevelType w:val="hybridMultilevel"/>
    <w:tmpl w:val="4D448EAE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2">
    <w:multiLevelType w:val="hybridMultilevel"/>
    <w:tmpl w:val="E14E214E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3">
    <w:multiLevelType w:val="hybridMultilevel"/>
    <w:tmpl w:val="DBA25BCC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4">
    <w:multiLevelType w:val="hybridMultilevel"/>
    <w:tmpl w:val="7ABCF5DE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5">
    <w:multiLevelType w:val="hybridMultilevel"/>
    <w:tmpl w:val="C46E4810"/>
    <w:numStyleLink w:val=""/>
    <w:lvl w:ilvl="0">
      <w:start w:val="1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6">
    <w:multiLevelType w:val="hybridMultilevel"/>
    <w:tmpl w:val="8D104162"/>
    <w:numStyleLink w:val=""/>
    <w:lvl w:ilvl="0">
      <w:start w:val="1"/>
      <w:numFmt w:val="upperRoman"/>
      <w:lvlText w:val="%1."/>
      <w:lvlJc w:val="left"/>
      <w:pPr>
        <w:ind w:hanging="720" w:left="180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7">
    <w:multiLevelType w:val="hybridMultilevel"/>
    <w:tmpl w:val="19A057D2"/>
    <w:numStyleLink w:val=""/>
    <w:lvl w:ilvl="0">
      <w:start w:val="1"/>
      <w:numFmt w:val="upperRoman"/>
      <w:lvlText w:val="%1."/>
      <w:lvlJc w:val="left"/>
      <w:pPr>
        <w:ind w:hanging="720" w:left="780"/>
      </w:pPr>
    </w:lvl>
    <w:lvl w:ilvl="1">
      <w:start w:val="1"/>
      <w:numFmt w:val="lowerLetter"/>
      <w:lvlText w:val="%2."/>
      <w:lvlJc w:val="left"/>
      <w:pPr>
        <w:ind w:hanging="360" w:left="1140"/>
      </w:pPr>
    </w:lvl>
    <w:lvl w:ilvl="2">
      <w:start w:val="1"/>
      <w:numFmt w:val="lowerRoman"/>
      <w:lvlText w:val="%3."/>
      <w:lvlJc w:val="right"/>
      <w:pPr>
        <w:ind w:hanging="180" w:left="1860"/>
      </w:pPr>
    </w:lvl>
    <w:lvl w:ilvl="3">
      <w:start w:val="1"/>
      <w:numFmt w:val="decimal"/>
      <w:lvlText w:val="%4."/>
      <w:lvlJc w:val="left"/>
      <w:pPr>
        <w:ind w:hanging="360" w:left="2580"/>
      </w:pPr>
    </w:lvl>
    <w:lvl w:ilvl="4">
      <w:start w:val="1"/>
      <w:numFmt w:val="lowerLetter"/>
      <w:lvlText w:val="%5."/>
      <w:lvlJc w:val="left"/>
      <w:pPr>
        <w:ind w:hanging="360" w:left="3300"/>
      </w:pPr>
    </w:lvl>
    <w:lvl w:ilvl="5">
      <w:start w:val="1"/>
      <w:numFmt w:val="lowerRoman"/>
      <w:lvlText w:val="%6."/>
      <w:lvlJc w:val="right"/>
      <w:pPr>
        <w:ind w:hanging="180" w:left="4020"/>
      </w:pPr>
    </w:lvl>
    <w:lvl w:ilvl="6">
      <w:start w:val="1"/>
      <w:numFmt w:val="decimal"/>
      <w:lvlText w:val="%7."/>
      <w:lvlJc w:val="left"/>
      <w:pPr>
        <w:ind w:hanging="360" w:left="4740"/>
      </w:pPr>
    </w:lvl>
    <w:lvl w:ilvl="7">
      <w:start w:val="1"/>
      <w:numFmt w:val="lowerLetter"/>
      <w:lvlText w:val="%8."/>
      <w:lvlJc w:val="left"/>
      <w:pPr>
        <w:ind w:hanging="360" w:left="5460"/>
      </w:pPr>
    </w:lvl>
    <w:lvl w:ilvl="8">
      <w:start w:val="1"/>
      <w:numFmt w:val="lowerRoman"/>
      <w:lvlText w:val="%9."/>
      <w:lvlJc w:val="right"/>
      <w:pPr>
        <w:ind w:hanging="180" w:left="6180"/>
      </w:p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16"/>
  </w:num>
  <w:num w:numId="5">
    <w:abstractNumId w:val="4"/>
  </w:num>
  <w:num w:numId="6">
    <w:abstractNumId w:val="11"/>
  </w:num>
  <w:num w:numId="7">
    <w:abstractNumId w:val="19"/>
  </w:num>
  <w:num w:numId="8">
    <w:abstractNumId w:val="12"/>
  </w:num>
  <w:num w:numId="9">
    <w:abstractNumId w:val="3"/>
  </w:num>
  <w:num w:numId="10">
    <w:abstractNumId w:val="5"/>
  </w:num>
  <w:num w:numId="11">
    <w:abstractNumId w:val="0"/>
  </w:num>
  <w:num w:numId="12">
    <w:abstractNumId w:val="26"/>
  </w:num>
  <w:num w:numId="13">
    <w:abstractNumId w:val="21"/>
  </w:num>
  <w:num w:numId="14">
    <w:abstractNumId w:val="13"/>
  </w:num>
  <w:num w:numId="15">
    <w:abstractNumId w:val="25"/>
  </w:num>
  <w:num w:numId="16">
    <w:abstractNumId w:val="6"/>
  </w:num>
  <w:num w:numId="17">
    <w:abstractNumId w:val="18"/>
  </w:num>
  <w:num w:numId="18">
    <w:abstractNumId w:val="8"/>
  </w:num>
  <w:num w:numId="19">
    <w:abstractNumId w:val="17"/>
  </w:num>
  <w:num w:numId="20">
    <w:abstractNumId w:val="7"/>
  </w:num>
  <w:num w:numId="21">
    <w:abstractNumId w:val="24"/>
  </w:num>
  <w:num w:numId="22">
    <w:abstractNumId w:val="27"/>
  </w:num>
  <w:num w:numId="23">
    <w:abstractNumId w:val="22"/>
  </w:num>
  <w:num w:numId="24">
    <w:abstractNumId w:val="10"/>
  </w:num>
  <w:num w:numId="25">
    <w:abstractNumId w:val="9"/>
  </w:num>
  <w:num w:numId="26">
    <w:abstractNumId w:val="14"/>
  </w:num>
  <w:num w:numId="27">
    <w:abstractNumId w:val="2"/>
  </w:num>
  <w:num w:numId="28">
    <w:abstractNumId w:val="23"/>
  </w:num>
</w:numbering>
</file>

<file path=word/settings.xml><?xml version="1.0" encoding="utf-8"?>
<w:settings xmlns:pic="http://schemas.openxmlformats.org/drawingml/2006/picture" xmlns:wp14="http://schemas.microsoft.com/office/word/2010/wordprocessingDrawing" xmlns:wpg="http://schemas.microsoft.com/office/word/2010/wordprocessingGroup" xmlns:w14="http://schemas.microsoft.com/office/word/2010/wordml" xmlns:sl="http://schemas.openxmlformats.org/schemaLibrary/2006/main" xmlns:wps="http://schemas.microsoft.com/office/word/2010/wordprocessingShape" xmlns:wp="http://schemas.openxmlformats.org/drawingml/2006/wordprocessingDrawing" xmlns:dgm="http://schemas.openxmlformats.org/drawingml/2006/diagram" xmlns:wpc="http://schemas.microsoft.com/office/word/2010/wordprocessingCanvas" xmlns:a="http://schemas.openxmlformats.org/drawingml/2006/main" xmlns:c="http://schemas.openxmlformats.org/drawingml/2006/chart" xmlns:mc="http://schemas.openxmlformats.org/markup-compatibility/2006" xmlns:m="http://schemas.openxmlformats.org/officeDocument/2006/math" xmlns:o="urn:schemas-microsoft-com:office:office" xmlns:p="http://schemas.openxmlformats.org/presentationml/2006/main" xmlns:s="http://schemas.openxmlformats.org/officeDocument/2006/sharedTypes" xmlns:r="http://schemas.openxmlformats.org/officeDocument/2006/relationships" xmlns:w="http://schemas.openxmlformats.org/wordprocessingml/2006/main" xmlns:v="urn:schemas-microsoft-com:vml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5F7"/>
    <w:rsid w:val="0005441B"/>
    <w:rsid w:val="00065797"/>
    <w:rsid w:val="000927DC"/>
    <w:rsid w:val="000E14CB"/>
    <w:rsid w:val="000F15FB"/>
    <w:rsid w:val="00100AA4"/>
    <w:rsid w:val="001154ED"/>
    <w:rsid w:val="00144A12"/>
    <w:rsid w:val="00146F60"/>
    <w:rsid w:val="001523EC"/>
    <w:rsid w:val="00165AE7"/>
    <w:rsid w:val="001862D8"/>
    <w:rsid w:val="00186AD3"/>
    <w:rsid w:val="001A5D5F"/>
    <w:rsid w:val="001B22A9"/>
    <w:rsid w:val="001B722E"/>
    <w:rsid w:val="001D7411"/>
    <w:rsid w:val="0022583C"/>
    <w:rsid w:val="00226666"/>
    <w:rsid w:val="00237DDA"/>
    <w:rsid w:val="002A0D00"/>
    <w:rsid w:val="002C4494"/>
    <w:rsid w:val="002D1448"/>
    <w:rsid w:val="002D543D"/>
    <w:rsid w:val="002E26CE"/>
    <w:rsid w:val="002F2C6B"/>
    <w:rsid w:val="0032074C"/>
    <w:rsid w:val="00327000"/>
    <w:rsid w:val="003556A4"/>
    <w:rsid w:val="00382A5B"/>
    <w:rsid w:val="00383F0A"/>
    <w:rsid w:val="00395B6F"/>
    <w:rsid w:val="003A0197"/>
    <w:rsid w:val="003B0D50"/>
    <w:rsid w:val="003E4967"/>
    <w:rsid w:val="00405CB8"/>
    <w:rsid w:val="004148CE"/>
    <w:rsid w:val="004163E3"/>
    <w:rsid w:val="0042417C"/>
    <w:rsid w:val="00434D3A"/>
    <w:rsid w:val="00444AE2"/>
    <w:rsid w:val="004547F9"/>
    <w:rsid w:val="004846A5"/>
    <w:rsid w:val="00490B89"/>
    <w:rsid w:val="004A1C49"/>
    <w:rsid w:val="004C622C"/>
    <w:rsid w:val="004D445C"/>
    <w:rsid w:val="004E4F49"/>
    <w:rsid w:val="00567FEB"/>
    <w:rsid w:val="005B3F44"/>
    <w:rsid w:val="005C4383"/>
    <w:rsid w:val="00600A87"/>
    <w:rsid w:val="00647B81"/>
    <w:rsid w:val="00667623"/>
    <w:rsid w:val="00685951"/>
    <w:rsid w:val="006A54A8"/>
    <w:rsid w:val="006B1CB8"/>
    <w:rsid w:val="006D1602"/>
    <w:rsid w:val="006D77DD"/>
    <w:rsid w:val="006E6638"/>
    <w:rsid w:val="00702846"/>
    <w:rsid w:val="0072487B"/>
    <w:rsid w:val="007442AD"/>
    <w:rsid w:val="00753607"/>
    <w:rsid w:val="007618C4"/>
    <w:rsid w:val="00767EDA"/>
    <w:rsid w:val="0078623B"/>
    <w:rsid w:val="00794253"/>
    <w:rsid w:val="00831BE0"/>
    <w:rsid w:val="008353ED"/>
    <w:rsid w:val="008624A5"/>
    <w:rsid w:val="008650F1"/>
    <w:rsid w:val="00867ADD"/>
    <w:rsid w:val="00881D29"/>
    <w:rsid w:val="008A3DEA"/>
    <w:rsid w:val="008A57D9"/>
    <w:rsid w:val="008B0686"/>
    <w:rsid w:val="008B548B"/>
    <w:rsid w:val="008E5FE1"/>
    <w:rsid w:val="009049E3"/>
    <w:rsid w:val="00926CF4"/>
    <w:rsid w:val="00940726"/>
    <w:rsid w:val="00956D11"/>
    <w:rsid w:val="00983BEE"/>
    <w:rsid w:val="009857B2"/>
    <w:rsid w:val="009E4440"/>
    <w:rsid w:val="00A22C0D"/>
    <w:rsid w:val="00A36EF1"/>
    <w:rsid w:val="00A5515E"/>
    <w:rsid w:val="00AC269B"/>
    <w:rsid w:val="00AD38AF"/>
    <w:rsid w:val="00AF50CF"/>
    <w:rsid w:val="00B02063"/>
    <w:rsid w:val="00B34D4E"/>
    <w:rsid w:val="00B363BC"/>
    <w:rsid w:val="00B418BC"/>
    <w:rsid w:val="00B540A1"/>
    <w:rsid w:val="00BF42FF"/>
    <w:rsid w:val="00C66720"/>
    <w:rsid w:val="00C706CA"/>
    <w:rsid w:val="00C90269"/>
    <w:rsid w:val="00C97412"/>
    <w:rsid w:val="00CB0240"/>
    <w:rsid w:val="00CD42BA"/>
    <w:rsid w:val="00CE09A0"/>
    <w:rsid w:val="00CE2C33"/>
    <w:rsid w:val="00CE5A9E"/>
    <w:rsid w:val="00D02381"/>
    <w:rsid w:val="00D11405"/>
    <w:rsid w:val="00D65BB1"/>
    <w:rsid w:val="00D96F80"/>
    <w:rsid w:val="00DA0804"/>
    <w:rsid w:val="00DA1E65"/>
    <w:rsid w:val="00DB108A"/>
    <w:rsid w:val="00DC3EF8"/>
    <w:rsid w:val="00DC6E43"/>
    <w:rsid w:val="00DD5701"/>
    <w:rsid w:val="00E05BB0"/>
    <w:rsid w:val="00E55126"/>
    <w:rsid w:val="00E6018E"/>
    <w:rsid w:val="00E97286"/>
    <w:rsid w:val="00EC79DF"/>
    <w:rsid w:val="00ED61B0"/>
    <w:rsid w:val="00F13380"/>
    <w:rsid w:val="00F42460"/>
    <w:rsid w:val="00F667E4"/>
    <w:rsid w:val="00F675F7"/>
    <w:rsid w:val="00FB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2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86AD3"/>
    <w:pPr>
      <w:ind w:left="720"/>
      <w:contextualSpacing/>
    </w:pPr>
  </w:style>
  <w:style w:type="paragraph" w:styleId="Sinespaciado">
    <w:name w:val="No Spacing"/>
    <w:uiPriority w:val="1"/>
    <w:qFormat/>
    <w:rsid w:val="0070284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C2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69B"/>
  </w:style>
  <w:style w:type="paragraph" w:styleId="Piedepgina">
    <w:name w:val="footer"/>
    <w:basedOn w:val="Normal"/>
    <w:link w:val="PiedepginaCar"/>
    <w:uiPriority w:val="99"/>
    <w:unhideWhenUsed/>
    <w:rsid w:val="00AC2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69B"/>
  </w:style>
  <w:style w:type="paragraph" w:styleId="Textodeglobo">
    <w:name w:val="Balloon Text"/>
    <w:basedOn w:val="Normal"/>
    <w:link w:val="TextodegloboCar"/>
    <w:uiPriority w:val="99"/>
    <w:semiHidden/>
    <w:unhideWhenUsed/>
    <w:rsid w:val="008A5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7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media/image1.jpeg" Type="http://schemas.openxmlformats.org/officeDocument/2006/relationships/image"></Relationship><Relationship Id="rId3" Target="footer1.xml" Type="http://schemas.openxmlformats.org/officeDocument/2006/relationships/footer"></Relationship><Relationship Id="rId4" Target="footnotes.xml" Type="http://schemas.openxmlformats.org/officeDocument/2006/relationships/footnotes"></Relationship><Relationship Id="rId5" Target="endnotes.xml" Type="http://schemas.openxmlformats.org/officeDocument/2006/relationships/endnotes"></Relationship><Relationship Id="rId6" Target="settings.xml" Type="http://schemas.openxmlformats.org/officeDocument/2006/relationships/settings"></Relationship><Relationship Id="rId7" Target="numbering.xml" Type="http://schemas.openxmlformats.org/officeDocument/2006/relationships/numbering"></Relationship><Relationship Id="rId8" Target="fontTable.xml" Type="http://schemas.openxmlformats.org/officeDocument/2006/relationships/fontTable"></Relationship><Relationship Id="rId9" Target="webSettings.xml" Type="http://schemas.openxmlformats.org/officeDocument/2006/relationships/webSettings"></Relationship><Relationship Id="rId10" Target="styles.xml" Type="http://schemas.openxmlformats.org/officeDocument/2006/relationships/styles"></Relationship><Relationship Id="rId11" Target="theme/theme1.xml" Type="http://schemas.openxmlformats.org/officeDocument/2006/relationships/theme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12B78-14FE-4052-AA30-9A35518B9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/>
  <Pages>5</Pages>
  <Words>1916</Words>
  <Characters>10525</Characters>
  <Lines>87</Lines>
  <Paragraphs>24</Paragraphs>
  <TotalTime>3</TotalTime>
  <ScaleCrop>0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12359</CharactersWithSpaces>
  <SharedDoc>0</SharedDoc>
  <HyperlinksChanged>0</HyperlinksChanged>
  <Application>Microsoft Office Word</Application>
  <AppVersion>15.0000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9</cp:revision>
  <cp:lastPrinted>2019-02-13T17:31:00Z</cp:lastPrinted>
  <dcterms:created xsi:type="dcterms:W3CDTF">2019-02-14T16:15:00Z</dcterms:created>
  <dcterms:modified xsi:type="dcterms:W3CDTF">2019-02-14T16:19:00Z</dcterms:modified>
</cp:coreProperties>
</file>