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rsidTr="00A45E83">
        <w:tc>
          <w:tcPr>
            <w:tcW w:w="8978" w:type="dxa"/>
          </w:tcPr>
          <w:p w:rsidR="009F5BF2" w:rsidRDefault="00D54D09" w:rsidP="00245F49">
            <w:pPr>
              <w:spacing w:after="0" w:line="240" w:lineRule="auto"/>
              <w:jc w:val="center"/>
              <w:rPr>
                <w:rFonts w:ascii="Arial" w:hAnsi="Arial" w:cs="Arial"/>
                <w:b/>
                <w:sz w:val="24"/>
                <w:szCs w:val="28"/>
              </w:rPr>
            </w:pPr>
            <w:bookmarkStart w:id="0" w:name="ente"/>
            <w:bookmarkStart w:id="1" w:name="_GoBack"/>
            <w:bookmarkEnd w:id="0"/>
            <w:bookmarkEnd w:id="1"/>
            <w:r>
              <w:rPr>
                <w:rFonts w:ascii="Arial" w:hAnsi="Arial" w:cs="Arial"/>
                <w:b/>
                <w:sz w:val="24"/>
                <w:szCs w:val="28"/>
              </w:rPr>
              <w:t>MUNICIPIO SAN JUAN DE LOS LAGOS</w:t>
            </w:r>
          </w:p>
          <w:p w:rsidR="00245F49" w:rsidRPr="004A7026" w:rsidRDefault="00245F49" w:rsidP="00245F49">
            <w:pPr>
              <w:spacing w:after="0" w:line="240" w:lineRule="auto"/>
              <w:jc w:val="center"/>
              <w:rPr>
                <w:rFonts w:ascii="Arial" w:hAnsi="Arial" w:cs="Arial"/>
                <w:b/>
                <w:sz w:val="24"/>
                <w:szCs w:val="28"/>
              </w:rPr>
            </w:pPr>
            <w:r w:rsidRPr="004A7026">
              <w:rPr>
                <w:rFonts w:ascii="Arial" w:hAnsi="Arial" w:cs="Arial"/>
                <w:b/>
                <w:sz w:val="24"/>
                <w:szCs w:val="28"/>
              </w:rPr>
              <w:t>NOTAS A LOS ESTADOS FINANCIEROS</w:t>
            </w:r>
          </w:p>
          <w:p w:rsidR="00A45E83" w:rsidRPr="006628DA" w:rsidRDefault="00245F49" w:rsidP="006628DA">
            <w:pPr>
              <w:spacing w:after="0" w:line="240" w:lineRule="auto"/>
              <w:jc w:val="center"/>
              <w:rPr>
                <w:rFonts w:ascii="Arial" w:hAnsi="Arial" w:cs="Arial"/>
                <w:b/>
                <w:sz w:val="24"/>
                <w:szCs w:val="28"/>
              </w:rPr>
            </w:pPr>
            <w:r w:rsidRPr="004A7026">
              <w:rPr>
                <w:rFonts w:ascii="Arial" w:hAnsi="Arial" w:cs="Arial"/>
                <w:b/>
                <w:sz w:val="24"/>
                <w:szCs w:val="28"/>
              </w:rPr>
              <w:t xml:space="preserve"> DE GESTIÓN ADMINISTRATIVA</w:t>
            </w:r>
          </w:p>
          <w:p w:rsidR="00A45E83" w:rsidRPr="00EF11D0" w:rsidRDefault="00D54D09" w:rsidP="00A45E83">
            <w:pPr>
              <w:spacing w:after="0" w:line="240" w:lineRule="auto"/>
              <w:jc w:val="center"/>
              <w:rPr>
                <w:rFonts w:ascii="Arial" w:hAnsi="Arial" w:cs="Arial"/>
                <w:b/>
                <w:sz w:val="24"/>
                <w:szCs w:val="24"/>
              </w:rPr>
            </w:pPr>
            <w:bookmarkStart w:id="2" w:name="periodo"/>
            <w:bookmarkEnd w:id="2"/>
            <w:r>
              <w:rPr>
                <w:rFonts w:ascii="Arial" w:hAnsi="Arial" w:cs="Arial"/>
                <w:b/>
                <w:sz w:val="24"/>
                <w:szCs w:val="24"/>
              </w:rPr>
              <w:t>DEL 1 DE ENERO AL 30 DE JUNIO DE 2021</w:t>
            </w:r>
          </w:p>
        </w:tc>
      </w:tr>
    </w:tbl>
    <w:p w:rsidR="00806603" w:rsidRPr="007326BD" w:rsidRDefault="00806603" w:rsidP="00A45E83">
      <w:pPr>
        <w:spacing w:after="12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rsidTr="00A45E83">
        <w:tc>
          <w:tcPr>
            <w:tcW w:w="8978" w:type="dxa"/>
          </w:tcPr>
          <w:p w:rsidR="00D54D09" w:rsidRDefault="00D54D09" w:rsidP="00D54D09">
            <w:pPr>
              <w:autoSpaceDE w:val="0"/>
              <w:autoSpaceDN w:val="0"/>
              <w:adjustRightInd w:val="0"/>
              <w:spacing w:after="160" w:line="252" w:lineRule="auto"/>
              <w:rPr>
                <w:rFonts w:cs="Calibri"/>
                <w:color w:val="000000"/>
                <w:lang w:eastAsia="es-MX"/>
              </w:rPr>
            </w:pPr>
            <w:bookmarkStart w:id="3" w:name="cuerpo"/>
            <w:bookmarkEnd w:id="3"/>
            <w:r>
              <w:rPr>
                <w:rFonts w:cs="Calibri"/>
                <w:color w:val="000000"/>
                <w:lang w:eastAsia="es-MX"/>
              </w:rPr>
              <w:t>Introducción</w:t>
            </w:r>
          </w:p>
          <w:p w:rsidR="00D54D09" w:rsidRDefault="00D54D09" w:rsidP="00D54D09">
            <w:pPr>
              <w:autoSpaceDE w:val="0"/>
              <w:autoSpaceDN w:val="0"/>
              <w:adjustRightInd w:val="0"/>
              <w:spacing w:after="160" w:line="252" w:lineRule="auto"/>
              <w:rPr>
                <w:rFonts w:cs="Calibri"/>
                <w:color w:val="000000"/>
                <w:lang w:eastAsia="es-MX"/>
              </w:rPr>
            </w:pPr>
            <w:r>
              <w:rPr>
                <w:rFonts w:cs="Calibri"/>
                <w:color w:val="000000"/>
                <w:lang w:eastAsia="es-MX"/>
              </w:rPr>
              <w:t>Los Estados Financieros de los entes públicos, proveen de información financiera a los principales usuarios de la misma, al congreso y a los ciudadanos.  El objetivo del presente documento es la revelación del contexto y de los aspectos económicos-financieros más relevantes que influyeron en las decisiones del periodo, y que deberán ser considerados en la elaboración de los estados financieros para la mayor comprensión de los mismos y sus particularidades.  De esta manera, se informa y explica la respuesta del gobierno a las condiciones relacionadas con la información financiera de cada periodo de gestión; además, de exponer aquellas políticas que podrían afectar la toma de decisiones en periodos posteriores.</w:t>
            </w:r>
          </w:p>
          <w:p w:rsidR="00D54D09" w:rsidRDefault="00D54D09" w:rsidP="00D54D09">
            <w:pPr>
              <w:autoSpaceDE w:val="0"/>
              <w:autoSpaceDN w:val="0"/>
              <w:adjustRightInd w:val="0"/>
              <w:spacing w:after="160" w:line="252" w:lineRule="auto"/>
              <w:rPr>
                <w:rFonts w:cs="Calibri"/>
                <w:lang w:eastAsia="es-MX"/>
              </w:rPr>
            </w:pPr>
            <w:r>
              <w:rPr>
                <w:rFonts w:cs="Calibri"/>
                <w:lang w:eastAsia="es-MX"/>
              </w:rPr>
              <w:t>Panorama Económico y Financiero</w:t>
            </w:r>
            <w:r>
              <w:rPr>
                <w:rFonts w:cs="Calibri"/>
                <w:lang w:eastAsia="es-MX"/>
              </w:rPr>
              <w:tab/>
            </w:r>
            <w:r>
              <w:rPr>
                <w:rFonts w:cs="Calibri"/>
                <w:lang w:eastAsia="es-MX"/>
              </w:rPr>
              <w:tab/>
            </w:r>
            <w:r>
              <w:rPr>
                <w:rFonts w:cs="Calibri"/>
                <w:lang w:eastAsia="es-MX"/>
              </w:rPr>
              <w:tab/>
            </w:r>
            <w:r>
              <w:rPr>
                <w:rFonts w:cs="Calibri"/>
                <w:lang w:eastAsia="es-MX"/>
              </w:rPr>
              <w:tab/>
            </w:r>
            <w:r>
              <w:rPr>
                <w:rFonts w:cs="Calibri"/>
                <w:lang w:eastAsia="es-MX"/>
              </w:rPr>
              <w:tab/>
            </w:r>
            <w:r>
              <w:rPr>
                <w:rFonts w:cs="Calibri"/>
                <w:lang w:eastAsia="es-MX"/>
              </w:rPr>
              <w:tab/>
            </w:r>
            <w:r>
              <w:rPr>
                <w:rFonts w:cs="Calibri"/>
                <w:lang w:eastAsia="es-MX"/>
              </w:rPr>
              <w:tab/>
            </w:r>
            <w:r>
              <w:rPr>
                <w:rFonts w:cs="Calibri"/>
                <w:lang w:eastAsia="es-MX"/>
              </w:rPr>
              <w:tab/>
            </w:r>
            <w:r>
              <w:rPr>
                <w:rFonts w:cs="Calibri"/>
                <w:lang w:eastAsia="es-MX"/>
              </w:rPr>
              <w:tab/>
            </w:r>
          </w:p>
          <w:p w:rsidR="00D54D09" w:rsidRDefault="00D54D09" w:rsidP="00D54D09">
            <w:pPr>
              <w:autoSpaceDE w:val="0"/>
              <w:autoSpaceDN w:val="0"/>
              <w:adjustRightInd w:val="0"/>
              <w:spacing w:after="160" w:line="252" w:lineRule="auto"/>
              <w:rPr>
                <w:rFonts w:cs="Calibri"/>
                <w:lang w:eastAsia="es-MX"/>
              </w:rPr>
            </w:pPr>
            <w:r>
              <w:rPr>
                <w:rFonts w:cs="Calibri"/>
                <w:lang w:eastAsia="es-MX"/>
              </w:rPr>
              <w:t>Conforme a la información del directorio estadístico nacional de unidades económicas (DENUE) de INEGI, el municipio de San Juan de los Lagos cuenta con 4,088 unidades económicas y su distribución por sectores revela un predominio de unidades económicas dedicadas al comercio, siendo estas el 54.4% del total de las empresas en el municipio.</w:t>
            </w:r>
          </w:p>
          <w:p w:rsidR="00D54D09" w:rsidRDefault="00D54D09" w:rsidP="00D54D09">
            <w:pPr>
              <w:autoSpaceDE w:val="0"/>
              <w:autoSpaceDN w:val="0"/>
              <w:adjustRightInd w:val="0"/>
              <w:spacing w:after="160" w:line="252" w:lineRule="auto"/>
              <w:rPr>
                <w:rFonts w:cs="Calibri"/>
                <w:lang w:eastAsia="es-MX"/>
              </w:rPr>
            </w:pPr>
          </w:p>
          <w:p w:rsidR="00D54D09" w:rsidRDefault="00D54D09" w:rsidP="00D54D09">
            <w:pPr>
              <w:autoSpaceDE w:val="0"/>
              <w:autoSpaceDN w:val="0"/>
              <w:adjustRightInd w:val="0"/>
              <w:spacing w:after="160" w:line="252" w:lineRule="auto"/>
              <w:rPr>
                <w:rFonts w:cs="Calibri"/>
                <w:lang w:eastAsia="es-MX"/>
              </w:rPr>
            </w:pPr>
            <w:r>
              <w:rPr>
                <w:rFonts w:cs="Calibri"/>
                <w:lang w:eastAsia="es-MX"/>
              </w:rPr>
              <w:t>Historia</w:t>
            </w:r>
          </w:p>
          <w:p w:rsidR="00D54D09" w:rsidRDefault="00D54D09" w:rsidP="00D54D09">
            <w:pPr>
              <w:autoSpaceDE w:val="0"/>
              <w:autoSpaceDN w:val="0"/>
              <w:adjustRightInd w:val="0"/>
              <w:spacing w:after="160" w:line="252" w:lineRule="auto"/>
              <w:rPr>
                <w:rFonts w:cs="Calibri"/>
                <w:lang w:eastAsia="es-MX"/>
              </w:rPr>
            </w:pPr>
            <w:r>
              <w:rPr>
                <w:rFonts w:cs="Calibri"/>
                <w:lang w:eastAsia="es-MX"/>
              </w:rPr>
              <w:t>Antes de la conquista esta región fue habitada por los wixarikas (huicholes) en el año de 1189, llamado San Juan Bautista de Mezquititlán después de su conquista en 1542; posteriormente perteneció al señorío tecuexe, su asiento estaba en Metzquititlán “lugar donde abundan los mezquites”.</w:t>
            </w:r>
          </w:p>
          <w:p w:rsidR="00D54D09" w:rsidRDefault="00D54D09" w:rsidP="00D54D09">
            <w:pPr>
              <w:autoSpaceDE w:val="0"/>
              <w:autoSpaceDN w:val="0"/>
              <w:adjustRightInd w:val="0"/>
              <w:spacing w:after="160" w:line="252" w:lineRule="auto"/>
              <w:rPr>
                <w:rFonts w:cs="Calibri"/>
                <w:lang w:eastAsia="es-MX"/>
              </w:rPr>
            </w:pPr>
            <w:r>
              <w:rPr>
                <w:rFonts w:cs="Calibri"/>
                <w:lang w:eastAsia="es-MX"/>
              </w:rPr>
              <w:t xml:space="preserve">Primero fue conquistada por el Pedro Almíndez Chirinos en 1530, se reconocieron los pueblos del oriente de Jalisco, entre ellos San Juan de los Lagos, quedando sujetos al poderío español, su fundación se remonta a fines de 1542 después de la Guerra del Mixtón. El 27 de marzo de 1824, San Juan de los Lagos se constituyó en Departamento siendo Cabecera del mismo y comprendió a los ayuntamientos de la Villa de Encarnación, de Jalostotitlán y el de San Miguel el Alto. </w:t>
            </w:r>
          </w:p>
          <w:p w:rsidR="00D54D09" w:rsidRDefault="00D54D09" w:rsidP="00D54D09">
            <w:pPr>
              <w:autoSpaceDE w:val="0"/>
              <w:autoSpaceDN w:val="0"/>
              <w:adjustRightInd w:val="0"/>
              <w:spacing w:after="160" w:line="252" w:lineRule="auto"/>
              <w:rPr>
                <w:rFonts w:cs="Calibri"/>
                <w:lang w:eastAsia="es-MX"/>
              </w:rPr>
            </w:pPr>
            <w:r>
              <w:rPr>
                <w:rFonts w:cs="Calibri"/>
                <w:lang w:eastAsia="es-MX"/>
              </w:rPr>
              <w:t>En esa misma disposición se le concedió el título de Villa de San Juan de los Lagos, que por su carácter de cabecera de departamento ya tenía Ayuntamiento. Por decreto aprobado el 30 de octubre de 1869, se le concedió a la Villa de San Juan de los Lagos título de Ciudad. Cabe hacer mención que en este municipio se puede admirar una gran cantidad de monumentos coloniales como son su Catedral; Basílica de Nuestra Señora de San Juan que data del siglo XVIII. Palacio municipal del siglo XVIII; Templo del Calvario, Parroquia de San Juan Bautista que data de 1648; edificio de Correos construido en el siglo XVIII, que posee ventanas y pórtico de estilo barroco; parroquia de la Sangre de Cristo edificada en 1888; templo de la Tercera Orden de 1841; Capilla del Primer Milagro construida en cantera, y el Reloj de la capilla de 1798.</w:t>
            </w:r>
          </w:p>
          <w:p w:rsidR="00D54D09" w:rsidRDefault="00D54D09" w:rsidP="00D54D09">
            <w:pPr>
              <w:autoSpaceDE w:val="0"/>
              <w:autoSpaceDN w:val="0"/>
              <w:adjustRightInd w:val="0"/>
              <w:spacing w:after="160" w:line="252" w:lineRule="auto"/>
              <w:rPr>
                <w:rFonts w:cs="Calibri"/>
                <w:lang w:eastAsia="es-MX"/>
              </w:rPr>
            </w:pPr>
          </w:p>
          <w:p w:rsidR="00D54D09" w:rsidRDefault="00D54D09" w:rsidP="00D54D09">
            <w:pPr>
              <w:autoSpaceDE w:val="0"/>
              <w:autoSpaceDN w:val="0"/>
              <w:adjustRightInd w:val="0"/>
              <w:spacing w:after="160" w:line="252" w:lineRule="auto"/>
              <w:rPr>
                <w:rFonts w:cs="Calibri"/>
                <w:lang w:eastAsia="es-MX"/>
              </w:rPr>
            </w:pPr>
            <w:r>
              <w:rPr>
                <w:rFonts w:cs="Calibri"/>
                <w:lang w:eastAsia="es-MX"/>
              </w:rPr>
              <w:t xml:space="preserve">  Bases de Preparación de los Estados Financieros </w:t>
            </w:r>
          </w:p>
          <w:p w:rsidR="00D54D09" w:rsidRDefault="00D54D09" w:rsidP="00D54D09">
            <w:pPr>
              <w:autoSpaceDE w:val="0"/>
              <w:autoSpaceDN w:val="0"/>
              <w:adjustRightInd w:val="0"/>
              <w:spacing w:after="160" w:line="252" w:lineRule="auto"/>
              <w:rPr>
                <w:rFonts w:cs="Calibri"/>
                <w:lang w:eastAsia="es-MX"/>
              </w:rPr>
            </w:pPr>
            <w:r>
              <w:rPr>
                <w:rFonts w:cs="Calibri"/>
                <w:lang w:eastAsia="es-MX"/>
              </w:rPr>
              <w:tab/>
              <w:t xml:space="preserve">a).- Si se ha observado la normatividad emitida por el CONAC y las disposiciones legales aplicables. </w:t>
            </w:r>
          </w:p>
          <w:p w:rsidR="00D54D09" w:rsidRDefault="00D54D09" w:rsidP="00D54D09">
            <w:pPr>
              <w:autoSpaceDE w:val="0"/>
              <w:autoSpaceDN w:val="0"/>
              <w:adjustRightInd w:val="0"/>
              <w:spacing w:after="160" w:line="252" w:lineRule="auto"/>
              <w:rPr>
                <w:rFonts w:cs="Calibri"/>
                <w:lang w:eastAsia="es-MX"/>
              </w:rPr>
            </w:pPr>
            <w:r>
              <w:rPr>
                <w:rFonts w:cs="Calibri"/>
                <w:lang w:eastAsia="es-MX"/>
              </w:rPr>
              <w:tab/>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D54D09" w:rsidRDefault="00D54D09" w:rsidP="00D54D09">
            <w:pPr>
              <w:autoSpaceDE w:val="0"/>
              <w:autoSpaceDN w:val="0"/>
              <w:adjustRightInd w:val="0"/>
              <w:spacing w:after="160" w:line="252" w:lineRule="auto"/>
              <w:rPr>
                <w:rFonts w:cs="Calibri"/>
                <w:lang w:eastAsia="es-MX"/>
              </w:rPr>
            </w:pPr>
            <w:r>
              <w:rPr>
                <w:rFonts w:cs="Calibri"/>
                <w:lang w:eastAsia="es-MX"/>
              </w:rPr>
              <w:tab/>
              <w:t xml:space="preserve">c).-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 </w:t>
            </w:r>
          </w:p>
          <w:p w:rsidR="00D54D09" w:rsidRDefault="00D54D09" w:rsidP="00D54D09">
            <w:pPr>
              <w:autoSpaceDE w:val="0"/>
              <w:autoSpaceDN w:val="0"/>
              <w:adjustRightInd w:val="0"/>
              <w:spacing w:after="160" w:line="252" w:lineRule="auto"/>
              <w:rPr>
                <w:rFonts w:cs="Calibri"/>
                <w:lang w:eastAsia="es-MX"/>
              </w:rPr>
            </w:pPr>
            <w:r>
              <w:rPr>
                <w:rFonts w:cs="Calibri"/>
                <w:lang w:eastAsia="es-MX"/>
              </w:rPr>
              <w:t xml:space="preserve">d).- Para las entidades que por primera vez estén implementando la base devengado de acuerdo a la Ley de Contabilidad, deberán:  - Revelar las nuevas políticas de reconocimiento. - Su plan de implementación. - Revelar los cambios en las políticas, la clasificación y medición de las mismas, así como su impacto en la información financiera.  - Presentar los últimos estados financieros con la normatividad anteriormente utilizada con las nuevas políticas para fines de comparación en la transición a la base devengada.   </w:t>
            </w:r>
          </w:p>
          <w:p w:rsidR="00D54D09" w:rsidRDefault="00D54D09" w:rsidP="00D54D09">
            <w:pPr>
              <w:autoSpaceDE w:val="0"/>
              <w:autoSpaceDN w:val="0"/>
              <w:adjustRightInd w:val="0"/>
              <w:spacing w:after="160" w:line="252" w:lineRule="auto"/>
              <w:rPr>
                <w:rFonts w:cs="Calibri"/>
                <w:lang w:eastAsia="es-MX"/>
              </w:rPr>
            </w:pPr>
            <w:r>
              <w:rPr>
                <w:rFonts w:cs="Calibri"/>
                <w:lang w:eastAsia="es-MX"/>
              </w:rPr>
              <w:t xml:space="preserve">Políticas de Contabilidad Significativas </w:t>
            </w:r>
          </w:p>
          <w:p w:rsidR="00D54D09" w:rsidRDefault="00D54D09" w:rsidP="00D54D09">
            <w:pPr>
              <w:autoSpaceDE w:val="0"/>
              <w:autoSpaceDN w:val="0"/>
              <w:adjustRightInd w:val="0"/>
              <w:spacing w:after="160" w:line="252" w:lineRule="auto"/>
              <w:rPr>
                <w:rFonts w:cs="Calibri"/>
                <w:lang w:eastAsia="es-MX"/>
              </w:rPr>
            </w:pPr>
            <w:r>
              <w:rPr>
                <w:rFonts w:cs="Calibri"/>
                <w:lang w:eastAsia="es-MX"/>
              </w:rPr>
              <w:tab/>
              <w:t xml:space="preserve">a).- Actualización: se informará del método utilizado para la actualización del valor de los activos, pasivos y Hacienda Pública y/o patrimonio y las razones de dicha elección. Así como informar de la desconexión o reconexión inflacionaria. </w:t>
            </w:r>
          </w:p>
          <w:p w:rsidR="00D54D09" w:rsidRDefault="00D54D09" w:rsidP="00D54D09">
            <w:pPr>
              <w:autoSpaceDE w:val="0"/>
              <w:autoSpaceDN w:val="0"/>
              <w:adjustRightInd w:val="0"/>
              <w:spacing w:after="160" w:line="252" w:lineRule="auto"/>
              <w:rPr>
                <w:rFonts w:cs="Calibri"/>
                <w:lang w:eastAsia="es-MX"/>
              </w:rPr>
            </w:pPr>
            <w:r>
              <w:rPr>
                <w:rFonts w:cs="Calibri"/>
                <w:lang w:eastAsia="es-MX"/>
              </w:rPr>
              <w:tab/>
              <w:t>b).- Informar sobre la realización de operaciones en el extranjero y de sus efectos en la información financiera gubernamental.</w:t>
            </w:r>
          </w:p>
          <w:p w:rsidR="00D54D09" w:rsidRDefault="00D54D09" w:rsidP="00D54D09">
            <w:pPr>
              <w:autoSpaceDE w:val="0"/>
              <w:autoSpaceDN w:val="0"/>
              <w:adjustRightInd w:val="0"/>
              <w:spacing w:after="160" w:line="252" w:lineRule="auto"/>
              <w:rPr>
                <w:rFonts w:cs="Calibri"/>
                <w:lang w:eastAsia="es-MX"/>
              </w:rPr>
            </w:pPr>
            <w:r>
              <w:rPr>
                <w:rFonts w:cs="Calibri"/>
                <w:lang w:eastAsia="es-MX"/>
              </w:rPr>
              <w:tab/>
              <w:t xml:space="preserve">c).- Método de valuación de la inversión en acciones de Compañías subsidiarias no  consolidadas y asociadas. </w:t>
            </w:r>
          </w:p>
          <w:p w:rsidR="00D54D09" w:rsidRDefault="00D54D09" w:rsidP="00D54D09">
            <w:pPr>
              <w:autoSpaceDE w:val="0"/>
              <w:autoSpaceDN w:val="0"/>
              <w:adjustRightInd w:val="0"/>
              <w:spacing w:after="160" w:line="252" w:lineRule="auto"/>
              <w:rPr>
                <w:rFonts w:cs="Calibri"/>
                <w:lang w:eastAsia="es-MX"/>
              </w:rPr>
            </w:pPr>
            <w:r>
              <w:rPr>
                <w:rFonts w:cs="Calibri"/>
                <w:lang w:eastAsia="es-MX"/>
              </w:rPr>
              <w:tab/>
              <w:t>d).- Sistema y método de valuación de inventarios y costo de lo vendido.</w:t>
            </w:r>
          </w:p>
          <w:p w:rsidR="00D54D09" w:rsidRDefault="00D54D09" w:rsidP="00D54D09">
            <w:pPr>
              <w:autoSpaceDE w:val="0"/>
              <w:autoSpaceDN w:val="0"/>
              <w:adjustRightInd w:val="0"/>
              <w:spacing w:after="160" w:line="252" w:lineRule="auto"/>
              <w:rPr>
                <w:rFonts w:cs="Calibri"/>
                <w:lang w:eastAsia="es-MX"/>
              </w:rPr>
            </w:pPr>
            <w:r>
              <w:rPr>
                <w:rFonts w:cs="Calibri"/>
                <w:lang w:eastAsia="es-MX"/>
              </w:rPr>
              <w:tab/>
              <w:t xml:space="preserve">e).- Beneficios y empleados: revelar el cálculo de la reserva actuarial, valor presente de los ingresos esperados comparado con el valor presente de la estimación de gastos tanto de los beneficiarios actuales como futuros. </w:t>
            </w:r>
          </w:p>
          <w:p w:rsidR="00D54D09" w:rsidRDefault="00D54D09" w:rsidP="00D54D09">
            <w:pPr>
              <w:autoSpaceDE w:val="0"/>
              <w:autoSpaceDN w:val="0"/>
              <w:adjustRightInd w:val="0"/>
              <w:spacing w:after="160" w:line="252" w:lineRule="auto"/>
              <w:rPr>
                <w:rFonts w:cs="Calibri"/>
                <w:lang w:eastAsia="es-MX"/>
              </w:rPr>
            </w:pPr>
            <w:r>
              <w:rPr>
                <w:rFonts w:cs="Calibri"/>
                <w:lang w:eastAsia="es-MX"/>
              </w:rPr>
              <w:tab/>
              <w:t>f).- Provisiones: objetivo de su creación, monto y plazo.</w:t>
            </w:r>
          </w:p>
          <w:p w:rsidR="00D54D09" w:rsidRDefault="00D54D09" w:rsidP="00D54D09">
            <w:pPr>
              <w:autoSpaceDE w:val="0"/>
              <w:autoSpaceDN w:val="0"/>
              <w:adjustRightInd w:val="0"/>
              <w:spacing w:after="160" w:line="252" w:lineRule="auto"/>
              <w:rPr>
                <w:rFonts w:cs="Calibri"/>
                <w:lang w:eastAsia="es-MX"/>
              </w:rPr>
            </w:pPr>
            <w:r>
              <w:rPr>
                <w:rFonts w:cs="Calibri"/>
                <w:lang w:eastAsia="es-MX"/>
              </w:rPr>
              <w:tab/>
              <w:t>g).- Reservas: objetivo de su creación, monto y plazo.</w:t>
            </w:r>
          </w:p>
          <w:p w:rsidR="00D54D09" w:rsidRDefault="00D54D09" w:rsidP="00D54D09">
            <w:pPr>
              <w:autoSpaceDE w:val="0"/>
              <w:autoSpaceDN w:val="0"/>
              <w:adjustRightInd w:val="0"/>
              <w:spacing w:after="160" w:line="252" w:lineRule="auto"/>
              <w:rPr>
                <w:rFonts w:cs="Calibri"/>
                <w:lang w:eastAsia="es-MX"/>
              </w:rPr>
            </w:pPr>
            <w:r>
              <w:rPr>
                <w:rFonts w:cs="Calibri"/>
                <w:lang w:eastAsia="es-MX"/>
              </w:rPr>
              <w:tab/>
              <w:t xml:space="preserve">h).- Cambios en políticas contables y corrección de errores junto con la revelación de los efectos que se tendrá en la información financiera del ente público, ya sea retrospectivos o prospectivos. </w:t>
            </w:r>
          </w:p>
          <w:p w:rsidR="00D54D09" w:rsidRDefault="00D54D09" w:rsidP="00D54D09">
            <w:pPr>
              <w:autoSpaceDE w:val="0"/>
              <w:autoSpaceDN w:val="0"/>
              <w:adjustRightInd w:val="0"/>
              <w:spacing w:after="160" w:line="252" w:lineRule="auto"/>
              <w:rPr>
                <w:rFonts w:cs="Calibri"/>
                <w:lang w:eastAsia="es-MX"/>
              </w:rPr>
            </w:pPr>
            <w:r>
              <w:rPr>
                <w:rFonts w:cs="Calibri"/>
                <w:lang w:eastAsia="es-MX"/>
              </w:rPr>
              <w:tab/>
              <w:t>i).- Reclasificaciones: Se deben revelar todos aquellos movimientos entre cuentas por efectos de cambios en los tipos de operaciones.</w:t>
            </w:r>
          </w:p>
          <w:p w:rsidR="00D54D09" w:rsidRDefault="00D54D09" w:rsidP="00D54D09">
            <w:pPr>
              <w:autoSpaceDE w:val="0"/>
              <w:autoSpaceDN w:val="0"/>
              <w:adjustRightInd w:val="0"/>
              <w:spacing w:after="160" w:line="252" w:lineRule="auto"/>
              <w:rPr>
                <w:rFonts w:cs="Calibri"/>
                <w:lang w:eastAsia="es-MX"/>
              </w:rPr>
            </w:pPr>
            <w:r>
              <w:rPr>
                <w:rFonts w:cs="Calibri"/>
                <w:lang w:eastAsia="es-MX"/>
              </w:rPr>
              <w:tab/>
              <w:t xml:space="preserve">j).- Depuración y cancelación de saldos. </w:t>
            </w:r>
          </w:p>
          <w:p w:rsidR="00D54D09" w:rsidRDefault="00D54D09" w:rsidP="00D54D09">
            <w:pPr>
              <w:autoSpaceDE w:val="0"/>
              <w:autoSpaceDN w:val="0"/>
              <w:adjustRightInd w:val="0"/>
              <w:spacing w:after="160" w:line="252" w:lineRule="auto"/>
              <w:rPr>
                <w:rFonts w:cs="Calibri"/>
                <w:lang w:eastAsia="es-MX"/>
              </w:rPr>
            </w:pPr>
            <w:r>
              <w:rPr>
                <w:rFonts w:cs="Calibri"/>
                <w:lang w:eastAsia="es-MX"/>
              </w:rPr>
              <w:t>07.- Posición en Moneda Extranjera y Protección por Riesgo Cambiario</w:t>
            </w:r>
          </w:p>
          <w:p w:rsidR="00D54D09" w:rsidRDefault="00D54D09" w:rsidP="00D54D09">
            <w:pPr>
              <w:autoSpaceDE w:val="0"/>
              <w:autoSpaceDN w:val="0"/>
              <w:adjustRightInd w:val="0"/>
              <w:spacing w:after="160" w:line="252" w:lineRule="auto"/>
              <w:rPr>
                <w:rFonts w:cs="Calibri"/>
                <w:lang w:eastAsia="es-MX"/>
              </w:rPr>
            </w:pPr>
            <w:r>
              <w:rPr>
                <w:rFonts w:cs="Calibri"/>
                <w:lang w:eastAsia="es-MX"/>
              </w:rPr>
              <w:tab/>
              <w:t xml:space="preserve">a).- Activos en moneda extranjera  </w:t>
            </w:r>
            <w:r>
              <w:rPr>
                <w:rFonts w:cs="Calibri"/>
                <w:lang w:eastAsia="es-MX"/>
              </w:rPr>
              <w:tab/>
            </w:r>
            <w:r>
              <w:rPr>
                <w:rFonts w:cs="Calibri"/>
                <w:lang w:eastAsia="es-MX"/>
              </w:rPr>
              <w:tab/>
            </w:r>
            <w:r>
              <w:rPr>
                <w:rFonts w:cs="Calibri"/>
                <w:lang w:eastAsia="es-MX"/>
              </w:rPr>
              <w:tab/>
            </w:r>
            <w:r>
              <w:rPr>
                <w:rFonts w:cs="Calibri"/>
                <w:lang w:eastAsia="es-MX"/>
              </w:rPr>
              <w:tab/>
            </w:r>
            <w:r>
              <w:rPr>
                <w:rFonts w:cs="Calibri"/>
                <w:lang w:eastAsia="es-MX"/>
              </w:rPr>
              <w:tab/>
            </w:r>
            <w:r>
              <w:rPr>
                <w:rFonts w:cs="Calibri"/>
                <w:lang w:eastAsia="es-MX"/>
              </w:rPr>
              <w:tab/>
            </w:r>
            <w:r>
              <w:rPr>
                <w:rFonts w:cs="Calibri"/>
                <w:lang w:eastAsia="es-MX"/>
              </w:rPr>
              <w:tab/>
            </w:r>
          </w:p>
          <w:p w:rsidR="00D54D09" w:rsidRDefault="00D54D09" w:rsidP="00D54D09">
            <w:pPr>
              <w:autoSpaceDE w:val="0"/>
              <w:autoSpaceDN w:val="0"/>
              <w:adjustRightInd w:val="0"/>
              <w:spacing w:after="160" w:line="252" w:lineRule="auto"/>
              <w:rPr>
                <w:rFonts w:cs="Calibri"/>
                <w:lang w:eastAsia="es-MX"/>
              </w:rPr>
            </w:pPr>
            <w:r>
              <w:rPr>
                <w:rFonts w:cs="Calibri"/>
                <w:lang w:eastAsia="es-MX"/>
              </w:rPr>
              <w:tab/>
            </w:r>
            <w:r>
              <w:rPr>
                <w:rFonts w:cs="Calibri"/>
                <w:lang w:eastAsia="es-MX"/>
              </w:rPr>
              <w:tab/>
            </w:r>
            <w:r>
              <w:rPr>
                <w:rFonts w:cs="Calibri"/>
                <w:lang w:eastAsia="es-MX"/>
              </w:rPr>
              <w:tab/>
            </w:r>
          </w:p>
          <w:p w:rsidR="00D54D09" w:rsidRDefault="00D54D09" w:rsidP="00D54D09">
            <w:pPr>
              <w:autoSpaceDE w:val="0"/>
              <w:autoSpaceDN w:val="0"/>
              <w:adjustRightInd w:val="0"/>
              <w:spacing w:after="160" w:line="252" w:lineRule="auto"/>
              <w:rPr>
                <w:rFonts w:cs="Calibri"/>
                <w:lang w:eastAsia="es-MX"/>
              </w:rPr>
            </w:pPr>
            <w:r>
              <w:rPr>
                <w:rFonts w:cs="Calibri"/>
                <w:lang w:eastAsia="es-MX"/>
              </w:rPr>
              <w:t>Información por Segmentos</w:t>
            </w:r>
            <w:r>
              <w:rPr>
                <w:rFonts w:cs="Calibri"/>
                <w:lang w:eastAsia="es-MX"/>
              </w:rPr>
              <w:tab/>
            </w:r>
            <w:r>
              <w:rPr>
                <w:rFonts w:cs="Calibri"/>
                <w:lang w:eastAsia="es-MX"/>
              </w:rPr>
              <w:tab/>
            </w:r>
          </w:p>
          <w:p w:rsidR="00D54D09" w:rsidRDefault="00D54D09" w:rsidP="00D54D09">
            <w:pPr>
              <w:autoSpaceDE w:val="0"/>
              <w:autoSpaceDN w:val="0"/>
              <w:adjustRightInd w:val="0"/>
              <w:spacing w:after="160" w:line="252" w:lineRule="auto"/>
              <w:rPr>
                <w:rFonts w:cs="Calibri"/>
                <w:lang w:eastAsia="es-MX"/>
              </w:rPr>
            </w:pPr>
            <w:r>
              <w:rPr>
                <w:rFonts w:cs="Calibri"/>
                <w:lang w:eastAsia="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  Consecuentemente, esta información contribuye al análisis más preciso de la situación financiera, grados y fuentes de riesgo y crecimiento potencial de negocio.</w:t>
            </w:r>
          </w:p>
          <w:p w:rsidR="00D54D09" w:rsidRDefault="00D54D09" w:rsidP="00D54D09">
            <w:pPr>
              <w:autoSpaceDE w:val="0"/>
              <w:autoSpaceDN w:val="0"/>
              <w:adjustRightInd w:val="0"/>
              <w:spacing w:after="160" w:line="252" w:lineRule="auto"/>
              <w:rPr>
                <w:rFonts w:cs="Calibri"/>
                <w:lang w:eastAsia="es-MX"/>
              </w:rPr>
            </w:pPr>
            <w:r>
              <w:rPr>
                <w:rFonts w:cs="Calibri"/>
                <w:lang w:eastAsia="es-MX"/>
              </w:rPr>
              <w:t>Eventos Posteriores al Cierre</w:t>
            </w:r>
          </w:p>
          <w:p w:rsidR="00D54D09" w:rsidRDefault="00D54D09" w:rsidP="00D54D09">
            <w:pPr>
              <w:autoSpaceDE w:val="0"/>
              <w:autoSpaceDN w:val="0"/>
              <w:adjustRightInd w:val="0"/>
              <w:spacing w:after="160" w:line="252" w:lineRule="auto"/>
              <w:rPr>
                <w:rFonts w:cs="Calibri"/>
                <w:lang w:eastAsia="es-MX"/>
              </w:rPr>
            </w:pPr>
            <w:r>
              <w:rPr>
                <w:rFonts w:cs="Calibri"/>
                <w:lang w:eastAsia="es-MX"/>
              </w:rPr>
              <w:t>El ente público informará el efecto  en sus estados financieros de aquellos hechos ocurridos en el periodo posterior al que informa, que proporcionan mayor evidencia sobre eventos que le afectan económicamente y que no se conocían a la fecha de cierre.</w:t>
            </w:r>
          </w:p>
          <w:p w:rsidR="00D54D09" w:rsidRDefault="00D54D09" w:rsidP="00D54D09">
            <w:pPr>
              <w:autoSpaceDE w:val="0"/>
              <w:autoSpaceDN w:val="0"/>
              <w:adjustRightInd w:val="0"/>
              <w:spacing w:after="160" w:line="252" w:lineRule="auto"/>
              <w:rPr>
                <w:rFonts w:cs="Calibri"/>
                <w:lang w:eastAsia="es-MX"/>
              </w:rPr>
            </w:pPr>
          </w:p>
          <w:p w:rsidR="00D54D09" w:rsidRDefault="00D54D09" w:rsidP="00D54D09">
            <w:pPr>
              <w:autoSpaceDE w:val="0"/>
              <w:autoSpaceDN w:val="0"/>
              <w:adjustRightInd w:val="0"/>
              <w:spacing w:after="160" w:line="252" w:lineRule="auto"/>
              <w:rPr>
                <w:rFonts w:cs="Calibri"/>
                <w:lang w:eastAsia="es-MX"/>
              </w:rPr>
            </w:pPr>
            <w:r>
              <w:rPr>
                <w:rFonts w:cs="Calibri"/>
                <w:lang w:eastAsia="es-MX"/>
              </w:rPr>
              <w:t>Partes Relacionadas</w:t>
            </w:r>
            <w:r>
              <w:rPr>
                <w:rFonts w:cs="Calibri"/>
                <w:lang w:eastAsia="es-MX"/>
              </w:rPr>
              <w:tab/>
            </w:r>
            <w:r>
              <w:rPr>
                <w:rFonts w:cs="Calibri"/>
                <w:lang w:eastAsia="es-MX"/>
              </w:rPr>
              <w:tab/>
            </w:r>
            <w:r>
              <w:rPr>
                <w:rFonts w:cs="Calibri"/>
                <w:lang w:eastAsia="es-MX"/>
              </w:rPr>
              <w:tab/>
            </w:r>
            <w:r>
              <w:rPr>
                <w:rFonts w:cs="Calibri"/>
                <w:lang w:eastAsia="es-MX"/>
              </w:rPr>
              <w:tab/>
            </w:r>
            <w:r>
              <w:rPr>
                <w:rFonts w:cs="Calibri"/>
                <w:lang w:eastAsia="es-MX"/>
              </w:rPr>
              <w:tab/>
            </w:r>
            <w:r>
              <w:rPr>
                <w:rFonts w:cs="Calibri"/>
                <w:lang w:eastAsia="es-MX"/>
              </w:rPr>
              <w:tab/>
            </w:r>
            <w:r>
              <w:rPr>
                <w:rFonts w:cs="Calibri"/>
                <w:lang w:eastAsia="es-MX"/>
              </w:rPr>
              <w:tab/>
            </w:r>
            <w:r>
              <w:rPr>
                <w:rFonts w:cs="Calibri"/>
                <w:lang w:eastAsia="es-MX"/>
              </w:rPr>
              <w:tab/>
            </w:r>
            <w:r>
              <w:rPr>
                <w:rFonts w:cs="Calibri"/>
                <w:lang w:eastAsia="es-MX"/>
              </w:rPr>
              <w:tab/>
            </w:r>
            <w:r>
              <w:rPr>
                <w:rFonts w:cs="Calibri"/>
                <w:lang w:eastAsia="es-MX"/>
              </w:rPr>
              <w:tab/>
            </w:r>
            <w:r>
              <w:rPr>
                <w:rFonts w:cs="Calibri"/>
                <w:lang w:eastAsia="es-MX"/>
              </w:rPr>
              <w:tab/>
            </w:r>
            <w:r>
              <w:rPr>
                <w:rFonts w:cs="Calibri"/>
                <w:lang w:eastAsia="es-MX"/>
              </w:rPr>
              <w:tab/>
            </w:r>
          </w:p>
          <w:p w:rsidR="00D54D09" w:rsidRDefault="00D54D09" w:rsidP="00D54D09">
            <w:pPr>
              <w:autoSpaceDE w:val="0"/>
              <w:autoSpaceDN w:val="0"/>
              <w:adjustRightInd w:val="0"/>
              <w:spacing w:after="160" w:line="252" w:lineRule="auto"/>
              <w:rPr>
                <w:rFonts w:cs="Calibri"/>
                <w:lang w:eastAsia="es-MX"/>
              </w:rPr>
            </w:pPr>
            <w:r>
              <w:rPr>
                <w:rFonts w:cs="Calibri"/>
                <w:lang w:eastAsia="es-MX"/>
              </w:rPr>
              <w:t>Se debe establecer por escrito que no existen partes relacionadas que pudieran ejercer influencia significativa sobre la toma de decisiones financieras y operativas.</w:t>
            </w:r>
          </w:p>
          <w:p w:rsidR="00D54D09" w:rsidRDefault="00D54D09" w:rsidP="00D54D09">
            <w:pPr>
              <w:autoSpaceDE w:val="0"/>
              <w:autoSpaceDN w:val="0"/>
              <w:adjustRightInd w:val="0"/>
              <w:spacing w:after="160" w:line="252" w:lineRule="auto"/>
              <w:rPr>
                <w:rFonts w:cs="Calibri"/>
                <w:lang w:eastAsia="es-MX"/>
              </w:rPr>
            </w:pPr>
          </w:p>
          <w:p w:rsidR="00D54D09" w:rsidRDefault="00D54D09" w:rsidP="00D54D09">
            <w:pPr>
              <w:autoSpaceDE w:val="0"/>
              <w:autoSpaceDN w:val="0"/>
              <w:adjustRightInd w:val="0"/>
              <w:spacing w:after="160" w:line="252" w:lineRule="auto"/>
              <w:rPr>
                <w:rFonts w:cs="Calibri"/>
                <w:lang w:eastAsia="es-MX"/>
              </w:rPr>
            </w:pPr>
            <w:r>
              <w:rPr>
                <w:rFonts w:cs="Calibri"/>
                <w:lang w:eastAsia="es-MX"/>
              </w:rPr>
              <w:t>Responsabilidad sobre la Presentación Razonable de los Estados Financieros</w:t>
            </w:r>
          </w:p>
          <w:p w:rsidR="00D54D09" w:rsidRDefault="00D54D09" w:rsidP="00D54D09">
            <w:pPr>
              <w:autoSpaceDE w:val="0"/>
              <w:autoSpaceDN w:val="0"/>
              <w:adjustRightInd w:val="0"/>
              <w:spacing w:after="160" w:line="252" w:lineRule="auto"/>
              <w:rPr>
                <w:rFonts w:cs="Calibri"/>
                <w:lang w:eastAsia="es-MX"/>
              </w:rPr>
            </w:pPr>
            <w:r>
              <w:rPr>
                <w:rFonts w:cs="Calibri"/>
                <w:lang w:eastAsia="es-MX"/>
              </w:rPr>
              <w:t>Los Estados Financieros  deberán estar rubricados en cada página de los mismos e incluir al final la siguiente leyenda:  " Bajo protesta de decir verdad declaramos que los Estados Financieros y sus notas, son razonablemente correctos y son responsabilidad del emisor".</w:t>
            </w:r>
          </w:p>
          <w:p w:rsidR="00D54D09" w:rsidRDefault="00D54D09" w:rsidP="00D54D09">
            <w:pPr>
              <w:autoSpaceDE w:val="0"/>
              <w:autoSpaceDN w:val="0"/>
              <w:adjustRightInd w:val="0"/>
              <w:spacing w:after="0" w:line="240" w:lineRule="auto"/>
              <w:rPr>
                <w:rFonts w:ascii="Arial" w:hAnsi="Arial" w:cs="Arial"/>
                <w:sz w:val="23"/>
                <w:szCs w:val="23"/>
                <w:lang w:eastAsia="es-MX"/>
              </w:rPr>
            </w:pPr>
          </w:p>
          <w:p w:rsidR="00A45E83" w:rsidRPr="007326BD" w:rsidRDefault="00A45E83" w:rsidP="00A45E83">
            <w:pPr>
              <w:spacing w:after="0" w:line="240" w:lineRule="auto"/>
              <w:jc w:val="both"/>
              <w:rPr>
                <w:rFonts w:ascii="Arial" w:hAnsi="Arial" w:cs="Arial"/>
                <w:sz w:val="24"/>
                <w:szCs w:val="24"/>
              </w:rPr>
            </w:pPr>
          </w:p>
        </w:tc>
      </w:tr>
    </w:tbl>
    <w:p w:rsidR="00A45E83" w:rsidRDefault="00A45E83">
      <w:pPr>
        <w:rPr>
          <w:rFonts w:ascii="Arial" w:hAnsi="Arial" w:cs="Arial"/>
        </w:rPr>
      </w:pPr>
    </w:p>
    <w:p w:rsidR="008E706B" w:rsidRDefault="008E706B">
      <w:pPr>
        <w:rPr>
          <w:rFonts w:ascii="Arial" w:hAnsi="Arial" w:cs="Arial"/>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30"/>
        <w:gridCol w:w="1257"/>
        <w:gridCol w:w="3841"/>
      </w:tblGrid>
      <w:tr w:rsidR="0009560A" w:rsidRPr="001F0913" w:rsidTr="00983255">
        <w:trPr>
          <w:jc w:val="center"/>
        </w:trPr>
        <w:tc>
          <w:tcPr>
            <w:tcW w:w="3794" w:type="dxa"/>
            <w:shd w:val="clear" w:color="auto" w:fill="auto"/>
            <w:vAlign w:val="center"/>
          </w:tcPr>
          <w:p w:rsidR="0009560A" w:rsidRPr="001F0913" w:rsidRDefault="00A45336" w:rsidP="0009560A">
            <w:pPr>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57216" behindDoc="0" locked="0" layoutInCell="1" allowOverlap="1">
                      <wp:simplePos x="0" y="0"/>
                      <wp:positionH relativeFrom="column">
                        <wp:posOffset>-22860</wp:posOffset>
                      </wp:positionH>
                      <wp:positionV relativeFrom="paragraph">
                        <wp:posOffset>259715</wp:posOffset>
                      </wp:positionV>
                      <wp:extent cx="2295525" cy="0"/>
                      <wp:effectExtent l="5080" t="5080" r="13970"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6AE36C2" id="_x0000_t32" coordsize="21600,21600" o:spt="32" o:oned="t" path="m,l21600,21600e" filled="f">
                      <v:path arrowok="t" fillok="f" o:connecttype="none"/>
                      <o:lock v:ext="edit" shapetype="t"/>
                    </v:shapetype>
                    <v:shape id="AutoShape 4" o:spid="_x0000_s1026" type="#_x0000_t32" style="position:absolute;margin-left:-1.8pt;margin-top:20.45pt;width:18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9aGwIAADsEAAAOAAAAZHJzL2Uyb0RvYy54bWysU9uO2yAQfa/Uf0C8J77U2SZWnNXKTvqy&#10;7Uba7QcQwDYqZhCQOFHVfy+Qi3a3L1VVP+CBmTlz5ra8Pw4SHbixAlSFs2mKEVcUmFBdhb+/bCZz&#10;jKwjihEJilf4xC2+X338sBx1yXPoQTJukAdRthx1hXvndJkklvZ8IHYKmiuvbMEMxPmr6RJmyOjR&#10;B5nkaXqXjGCYNkC5tf61OSvxKuK3LafuqW0td0hW2HNz8TTx3IUzWS1J2Rmie0EvNMg/sBiIUD7o&#10;DaohjqC9EX9ADYIasNC6KYUhgbYVlMccfDZZ+i6b555oHnPxxbH6Vib7/2Dpt8PWIMEqnGOkyOBb&#10;9LB3ECOjIpRn1Lb0VrXampAgPapn/Qj0h0UK6p6ojkfjl5P2vlnwSN64hIvVPshu/ArM2xCPH2t1&#10;bM0QIH0V0DG25HRrCT86RP1jni9ms3yGEb3qElJeHbWx7guHAQWhwtYZIrre1aCUbzyYLIYhh0fr&#10;Ai1SXh1CVAUbIWXsv1RorPAixAkaC1KwoIwX0+1qadCBhAmKX8zxnZmBvWIRrOeErS+yI0KeZR9c&#10;qoDnE/N0LtJ5RH4u0sV6vp4XkyK/W0+KtGkmD5u6mNxtss+z5lNT1032K1DLirIXjHEV2F3HNSv+&#10;bhwui3MetNvA3sqQvEWP9fJkr/9IOnY2NPM8Fjtgp625dtxPaDS+bFNYgdd3L7/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E0fL1obAgAAOwQAAA4AAAAAAAAAAAAAAAAALgIAAGRycy9lMm9Eb2MueG1sUEsBAi0A&#10;FAAGAAgAAAAhANSWC17eAAAACAEAAA8AAAAAAAAAAAAAAAAAdQQAAGRycy9kb3ducmV2LnhtbFBL&#10;BQYAAAAABAAEAPMAAACABQAAAAA=&#10;"/>
                  </w:pict>
                </mc:Fallback>
              </mc:AlternateContent>
            </w:r>
          </w:p>
        </w:tc>
        <w:tc>
          <w:tcPr>
            <w:tcW w:w="1276" w:type="dxa"/>
            <w:shd w:val="clear" w:color="auto" w:fill="auto"/>
            <w:vAlign w:val="center"/>
          </w:tcPr>
          <w:p w:rsidR="0009560A" w:rsidRPr="001F0913" w:rsidRDefault="0009560A" w:rsidP="0009560A">
            <w:pPr>
              <w:rPr>
                <w:rFonts w:ascii="Arial" w:hAnsi="Arial" w:cs="Arial"/>
                <w:sz w:val="20"/>
              </w:rPr>
            </w:pPr>
          </w:p>
        </w:tc>
        <w:tc>
          <w:tcPr>
            <w:tcW w:w="3908" w:type="dxa"/>
            <w:shd w:val="clear" w:color="auto" w:fill="auto"/>
            <w:vAlign w:val="center"/>
          </w:tcPr>
          <w:p w:rsidR="0009560A" w:rsidRPr="001F0913" w:rsidRDefault="00A45336" w:rsidP="0009560A">
            <w:pPr>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259715</wp:posOffset>
                      </wp:positionV>
                      <wp:extent cx="2295525" cy="0"/>
                      <wp:effectExtent l="5080" t="5080" r="13970"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7B2527D" id="AutoShape 5" o:spid="_x0000_s1026" type="#_x0000_t32" style="position:absolute;margin-left:1.2pt;margin-top:20.45pt;width:1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8d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GZhPKNxJUTVamtDg/Sons2jpj8cUrruiep4DH45GcjNQkbyJiVcnIEiu/GrZhBDAD/O&#10;6tjaIUDCFNAxSnK6ScKPHlH4mOeL2SyfYUSvvoSU10Rjnf/C9YCCUWHnLRFd72utFAivbRbLkMOj&#10;84EWKa8JoarSGyFl1F8qNFZ4EeoEj9NSsOCMF9vtamnRgYQNir/Y47swq/eKRbCeE7a+2J4Iebah&#10;uFQBDxoDOhfrvCI/F+liPV/Pi0mR360nRdo0k4dNXUzuNtnnWfOpqesm+xWoZUXZC8a4Cuyu65oV&#10;f7cOl4dzXrTbwt7GkLxFj/MCstf/SDoqG8Q8r8VOs9PWXhWHDY3Bl9cUnsDrO9iv3/zq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AnwvHRwCAAA7BAAADgAAAAAAAAAAAAAAAAAuAgAAZHJzL2Uyb0RvYy54bWxQSwECLQAU&#10;AAYACAAAACEArxXqGdwAAAAHAQAADwAAAAAAAAAAAAAAAAB2BAAAZHJzL2Rvd25yZXYueG1sUEsF&#10;BgAAAAAEAAQA8wAAAH8FAAAAAA==&#10;"/>
                  </w:pict>
                </mc:Fallback>
              </mc:AlternateContent>
            </w:r>
          </w:p>
        </w:tc>
      </w:tr>
      <w:tr w:rsidR="0009560A" w:rsidRPr="001F0913" w:rsidTr="00983255">
        <w:trPr>
          <w:jc w:val="center"/>
        </w:trPr>
        <w:tc>
          <w:tcPr>
            <w:tcW w:w="3794" w:type="dxa"/>
            <w:shd w:val="clear" w:color="auto" w:fill="auto"/>
            <w:vAlign w:val="center"/>
          </w:tcPr>
          <w:p w:rsidR="0009560A" w:rsidRPr="00AA3238" w:rsidRDefault="00D54D09" w:rsidP="00983255">
            <w:pPr>
              <w:jc w:val="center"/>
              <w:rPr>
                <w:rFonts w:ascii="Arial" w:hAnsi="Arial" w:cs="Arial"/>
                <w:b/>
                <w:sz w:val="20"/>
              </w:rPr>
            </w:pPr>
            <w:bookmarkStart w:id="4" w:name="firma1"/>
            <w:bookmarkEnd w:id="4"/>
            <w:r>
              <w:rPr>
                <w:rFonts w:ascii="Arial" w:hAnsi="Arial" w:cs="Arial"/>
                <w:b/>
                <w:sz w:val="20"/>
              </w:rPr>
              <w:t>L.C.I. JESUS UBALDO MEDINA BRISEÑO</w:t>
            </w:r>
          </w:p>
          <w:p w:rsidR="0009560A" w:rsidRPr="00AA3238" w:rsidRDefault="00D54D09" w:rsidP="00983255">
            <w:pPr>
              <w:jc w:val="center"/>
              <w:rPr>
                <w:rFonts w:ascii="Arial" w:hAnsi="Arial" w:cs="Arial"/>
                <w:b/>
                <w:sz w:val="20"/>
              </w:rPr>
            </w:pPr>
            <w:bookmarkStart w:id="5" w:name="Cargo1"/>
            <w:bookmarkEnd w:id="5"/>
            <w:r>
              <w:rPr>
                <w:rFonts w:ascii="Arial" w:hAnsi="Arial" w:cs="Arial"/>
                <w:b/>
                <w:sz w:val="20"/>
              </w:rPr>
              <w:t>PRESIDENTE MUNICIPAL</w:t>
            </w:r>
          </w:p>
        </w:tc>
        <w:tc>
          <w:tcPr>
            <w:tcW w:w="1276" w:type="dxa"/>
            <w:shd w:val="clear" w:color="auto" w:fill="auto"/>
            <w:vAlign w:val="center"/>
          </w:tcPr>
          <w:p w:rsidR="0009560A" w:rsidRPr="001F0913" w:rsidRDefault="0009560A" w:rsidP="0009560A">
            <w:pPr>
              <w:rPr>
                <w:rFonts w:ascii="Arial" w:hAnsi="Arial" w:cs="Arial"/>
                <w:sz w:val="20"/>
              </w:rPr>
            </w:pPr>
          </w:p>
        </w:tc>
        <w:tc>
          <w:tcPr>
            <w:tcW w:w="3908" w:type="dxa"/>
            <w:shd w:val="clear" w:color="auto" w:fill="auto"/>
            <w:vAlign w:val="center"/>
          </w:tcPr>
          <w:p w:rsidR="0009560A" w:rsidRPr="00AA3238" w:rsidRDefault="00D54D09" w:rsidP="00983255">
            <w:pPr>
              <w:jc w:val="center"/>
              <w:rPr>
                <w:rFonts w:ascii="Arial" w:hAnsi="Arial" w:cs="Arial"/>
                <w:b/>
                <w:sz w:val="20"/>
              </w:rPr>
            </w:pPr>
            <w:bookmarkStart w:id="6" w:name="firma2"/>
            <w:bookmarkEnd w:id="6"/>
            <w:r>
              <w:rPr>
                <w:rFonts w:ascii="Arial" w:hAnsi="Arial" w:cs="Arial"/>
                <w:b/>
                <w:sz w:val="20"/>
              </w:rPr>
              <w:t>L.C.P. FELIPE DE JESUS RUIZ PEREZ</w:t>
            </w:r>
          </w:p>
          <w:p w:rsidR="0009560A" w:rsidRPr="00AA3238" w:rsidRDefault="00D54D09" w:rsidP="00983255">
            <w:pPr>
              <w:jc w:val="center"/>
              <w:rPr>
                <w:rFonts w:ascii="Arial" w:hAnsi="Arial" w:cs="Arial"/>
                <w:b/>
                <w:sz w:val="20"/>
              </w:rPr>
            </w:pPr>
            <w:bookmarkStart w:id="7" w:name="Cargo2"/>
            <w:bookmarkEnd w:id="7"/>
            <w:r>
              <w:rPr>
                <w:rFonts w:ascii="Arial" w:hAnsi="Arial" w:cs="Arial"/>
                <w:b/>
                <w:sz w:val="20"/>
              </w:rPr>
              <w:t>ENCARGADO DE LA HACIENDA PUBLICA MUNICIPAL</w:t>
            </w:r>
          </w:p>
        </w:tc>
      </w:tr>
    </w:tbl>
    <w:p w:rsidR="0009560A" w:rsidRPr="00721735" w:rsidRDefault="00D54D09" w:rsidP="00DC7A0D">
      <w:pPr>
        <w:jc w:val="center"/>
        <w:rPr>
          <w:rFonts w:ascii="C39HrP24DhTt" w:hAnsi="C39HrP24DhTt" w:cs="Arial"/>
          <w:sz w:val="44"/>
          <w:szCs w:val="44"/>
        </w:rPr>
      </w:pPr>
      <w:bookmarkStart w:id="8" w:name="codigo"/>
      <w:bookmarkEnd w:id="8"/>
      <w:r>
        <w:rPr>
          <w:rFonts w:ascii="C39HrP24DhTt" w:hAnsi="C39HrP24DhTt" w:cs="Arial"/>
          <w:sz w:val="44"/>
          <w:szCs w:val="44"/>
        </w:rPr>
        <w:t>ASEJ2021-14-22-11-2021-1</w:t>
      </w:r>
    </w:p>
    <w:p w:rsidR="008E706B" w:rsidRDefault="008E706B">
      <w:pPr>
        <w:rPr>
          <w:rFonts w:ascii="Arial" w:hAnsi="Arial" w:cs="Arial"/>
        </w:rPr>
      </w:pPr>
    </w:p>
    <w:p w:rsidR="008E706B" w:rsidRPr="00B157EC" w:rsidRDefault="008E706B" w:rsidP="008E706B">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correctos y responsabilidad del emisor.</w:t>
      </w:r>
    </w:p>
    <w:p w:rsidR="008E706B" w:rsidRPr="007326BD" w:rsidRDefault="008E706B">
      <w:pPr>
        <w:rPr>
          <w:rFonts w:ascii="Arial" w:hAnsi="Arial" w:cs="Arial"/>
        </w:rPr>
      </w:pPr>
    </w:p>
    <w:sectPr w:rsidR="008E706B" w:rsidRPr="007326BD" w:rsidSect="008066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39HrP24DhT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83"/>
    <w:rsid w:val="0009560A"/>
    <w:rsid w:val="00245F49"/>
    <w:rsid w:val="0040191D"/>
    <w:rsid w:val="004D1A2A"/>
    <w:rsid w:val="006628DA"/>
    <w:rsid w:val="007326BD"/>
    <w:rsid w:val="00806603"/>
    <w:rsid w:val="008A5017"/>
    <w:rsid w:val="008E706B"/>
    <w:rsid w:val="00983255"/>
    <w:rsid w:val="009F5BF2"/>
    <w:rsid w:val="00A45336"/>
    <w:rsid w:val="00A45E83"/>
    <w:rsid w:val="00AA3238"/>
    <w:rsid w:val="00D54D09"/>
    <w:rsid w:val="00DC7A0D"/>
    <w:rsid w:val="00EF11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34C81-568D-4649-840E-C369D584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1166</Words>
  <Characters>6416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ASEJ;Ramiro Ochoa Cisneros</dc:creator>
  <cp:keywords/>
  <cp:lastModifiedBy>EGRESOS PC</cp:lastModifiedBy>
  <cp:revision>6</cp:revision>
  <dcterms:created xsi:type="dcterms:W3CDTF">2020-05-27T16:04:00Z</dcterms:created>
  <dcterms:modified xsi:type="dcterms:W3CDTF">2021-11-22T17:42:00Z</dcterms:modified>
</cp:coreProperties>
</file>