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13AF2">
        <w:rPr>
          <w:rFonts w:eastAsia="Calibri" w:cs="Arial"/>
          <w:b/>
          <w:sz w:val="28"/>
          <w:szCs w:val="28"/>
          <w:lang w:val="es-MX"/>
        </w:rPr>
        <w:t>I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09:30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bookmarkStart w:id="0" w:name="_GoBack"/>
      <w:bookmarkEnd w:id="0"/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F13AF2">
        <w:rPr>
          <w:color w:val="000000" w:themeColor="text1"/>
          <w:sz w:val="24"/>
          <w:szCs w:val="24"/>
        </w:rPr>
        <w:t>ión de trabajo, siendo las 09:52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17 de Enero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Enero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73" w:rsidRDefault="00AD2C73">
      <w:pPr>
        <w:spacing w:after="0" w:line="240" w:lineRule="auto"/>
      </w:pPr>
      <w:r>
        <w:separator/>
      </w:r>
    </w:p>
  </w:endnote>
  <w:endnote w:type="continuationSeparator" w:id="0">
    <w:p w:rsidR="00AD2C73" w:rsidRDefault="00A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73" w:rsidRDefault="00AD2C73">
      <w:pPr>
        <w:spacing w:after="0" w:line="240" w:lineRule="auto"/>
      </w:pPr>
      <w:r>
        <w:separator/>
      </w:r>
    </w:p>
  </w:footnote>
  <w:footnote w:type="continuationSeparator" w:id="0">
    <w:p w:rsidR="00AD2C73" w:rsidRDefault="00A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13AF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13AF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D2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B4B6-4CE3-408B-8A80-3AB155BE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2022-04-29T01:24:00Z</dcterms:created>
  <dcterms:modified xsi:type="dcterms:W3CDTF">2022-04-29T01:24:00Z</dcterms:modified>
</cp:coreProperties>
</file>