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3B4674" w:rsidRPr="003F34F7"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3B4674">
        <w:rPr>
          <w:rFonts w:ascii="Arial" w:hAnsi="Arial" w:cs="Arial"/>
          <w:b/>
          <w:sz w:val="36"/>
          <w:szCs w:val="24"/>
        </w:rPr>
        <w:t xml:space="preserve"> </w:t>
      </w:r>
      <w:r w:rsidR="004353C7" w:rsidRPr="004353C7">
        <w:rPr>
          <w:rFonts w:ascii="Arial" w:hAnsi="Arial" w:cs="Arial"/>
          <w:b/>
          <w:sz w:val="24"/>
        </w:rPr>
        <w:t>CEMENTERIOS</w:t>
      </w:r>
    </w:p>
    <w:p w:rsidR="00153111" w:rsidRPr="00025435" w:rsidRDefault="00153111" w:rsidP="00B65FC8">
      <w:pPr>
        <w:spacing w:after="0" w:line="276" w:lineRule="auto"/>
        <w:jc w:val="right"/>
        <w:rPr>
          <w:rFonts w:ascii="Arial" w:hAnsi="Arial" w:cs="Arial"/>
          <w:b/>
          <w:sz w:val="32"/>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bookmarkStart w:id="0" w:name="_GoBack"/>
      <w:bookmarkEnd w:id="0"/>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E008B0" w:rsidRDefault="00394C01" w:rsidP="00394C01">
      <w:pPr>
        <w:spacing w:after="0"/>
        <w:jc w:val="center"/>
        <w:rPr>
          <w:rFonts w:ascii="Arial" w:eastAsia="Calibri" w:hAnsi="Arial" w:cs="Arial"/>
          <w:b/>
          <w:color w:val="000000"/>
          <w:sz w:val="32"/>
          <w:szCs w:val="24"/>
          <w:shd w:val="clear" w:color="auto" w:fill="FFFFFF"/>
        </w:rPr>
      </w:pPr>
    </w:p>
    <w:p w:rsidR="006606E6" w:rsidRPr="006606E6" w:rsidRDefault="006606E6" w:rsidP="00A46EA7">
      <w:pPr>
        <w:spacing w:after="0"/>
        <w:jc w:val="center"/>
        <w:rPr>
          <w:rFonts w:ascii="Arial" w:eastAsia="Calibri" w:hAnsi="Arial" w:cs="Arial"/>
          <w:b/>
          <w:color w:val="000000"/>
          <w:szCs w:val="20"/>
          <w:shd w:val="clear" w:color="auto" w:fill="FFFFFF"/>
        </w:rPr>
      </w:pPr>
      <w:r w:rsidRPr="006606E6">
        <w:rPr>
          <w:rFonts w:ascii="Arial" w:hAnsi="Arial" w:cs="Arial"/>
          <w:b/>
          <w:sz w:val="24"/>
        </w:rPr>
        <w:t>C. LOURDES DENIS RODRÍGUEZ PADILLA</w:t>
      </w:r>
      <w:r w:rsidRPr="006606E6">
        <w:rPr>
          <w:rFonts w:ascii="Arial" w:eastAsia="Calibri" w:hAnsi="Arial" w:cs="Arial"/>
          <w:b/>
          <w:color w:val="000000"/>
          <w:szCs w:val="20"/>
          <w:shd w:val="clear" w:color="auto" w:fill="FFFFFF"/>
        </w:rPr>
        <w:t xml:space="preserve"> </w:t>
      </w:r>
    </w:p>
    <w:p w:rsidR="00153111" w:rsidRPr="00973205" w:rsidRDefault="004353C7" w:rsidP="00A46EA7">
      <w:pPr>
        <w:spacing w:after="0"/>
        <w:jc w:val="center"/>
        <w:rPr>
          <w:rFonts w:ascii="Arial" w:eastAsia="Calibri" w:hAnsi="Arial" w:cs="Arial"/>
          <w:color w:val="000000"/>
          <w:sz w:val="20"/>
          <w:szCs w:val="20"/>
          <w:shd w:val="clear" w:color="auto" w:fill="FFFFFF"/>
        </w:rPr>
      </w:pPr>
      <w:r>
        <w:rPr>
          <w:rFonts w:ascii="Arial" w:eastAsia="Calibri" w:hAnsi="Arial" w:cs="Arial"/>
          <w:b/>
          <w:color w:val="000000"/>
          <w:sz w:val="20"/>
          <w:szCs w:val="20"/>
          <w:shd w:val="clear" w:color="auto" w:fill="FFFFFF"/>
        </w:rPr>
        <w:t>PRESIDENTA</w:t>
      </w:r>
      <w:r w:rsidR="00E006BC">
        <w:rPr>
          <w:rFonts w:ascii="Arial" w:eastAsia="Calibri" w:hAnsi="Arial" w:cs="Arial"/>
          <w:b/>
          <w:color w:val="000000"/>
          <w:sz w:val="20"/>
          <w:szCs w:val="20"/>
          <w:shd w:val="clear" w:color="auto" w:fill="FFFFFF"/>
        </w:rPr>
        <w:t xml:space="preserve"> DE LA COMISION EDILICIA </w:t>
      </w:r>
      <w:r w:rsidR="00E006BC" w:rsidRPr="004353C7">
        <w:rPr>
          <w:rFonts w:ascii="Arial" w:eastAsia="Calibri" w:hAnsi="Arial" w:cs="Arial"/>
          <w:b/>
          <w:color w:val="000000"/>
          <w:sz w:val="20"/>
          <w:szCs w:val="20"/>
          <w:shd w:val="clear" w:color="auto" w:fill="FFFFFF"/>
        </w:rPr>
        <w:t>DE</w:t>
      </w:r>
      <w:r w:rsidRPr="004353C7">
        <w:rPr>
          <w:rFonts w:ascii="Arial" w:hAnsi="Arial" w:cs="Arial"/>
          <w:b/>
          <w:sz w:val="20"/>
          <w:szCs w:val="20"/>
        </w:rPr>
        <w:t xml:space="preserve"> </w:t>
      </w:r>
      <w:r w:rsidRPr="004353C7">
        <w:rPr>
          <w:rFonts w:ascii="Arial" w:hAnsi="Arial" w:cs="Arial"/>
          <w:b/>
          <w:sz w:val="20"/>
          <w:szCs w:val="20"/>
        </w:rPr>
        <w:t>CEMENTERIOS</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402" w:rsidRDefault="00430402" w:rsidP="00DA482B">
      <w:pPr>
        <w:spacing w:after="0" w:line="240" w:lineRule="auto"/>
      </w:pPr>
      <w:r>
        <w:separator/>
      </w:r>
    </w:p>
  </w:endnote>
  <w:endnote w:type="continuationSeparator" w:id="0">
    <w:p w:rsidR="00430402" w:rsidRDefault="00430402"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4353C7" w:rsidRPr="004353C7">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402" w:rsidRDefault="00430402" w:rsidP="00DA482B">
      <w:pPr>
        <w:spacing w:after="0" w:line="240" w:lineRule="auto"/>
      </w:pPr>
      <w:r>
        <w:separator/>
      </w:r>
    </w:p>
  </w:footnote>
  <w:footnote w:type="continuationSeparator" w:id="0">
    <w:p w:rsidR="00430402" w:rsidRDefault="00430402"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25435"/>
    <w:rsid w:val="000445AD"/>
    <w:rsid w:val="00072CF1"/>
    <w:rsid w:val="000D1514"/>
    <w:rsid w:val="00113444"/>
    <w:rsid w:val="00152E1B"/>
    <w:rsid w:val="00153111"/>
    <w:rsid w:val="00166206"/>
    <w:rsid w:val="00220A6C"/>
    <w:rsid w:val="002333CE"/>
    <w:rsid w:val="00264B5E"/>
    <w:rsid w:val="002735E4"/>
    <w:rsid w:val="0028675E"/>
    <w:rsid w:val="00295295"/>
    <w:rsid w:val="002C6091"/>
    <w:rsid w:val="0032497C"/>
    <w:rsid w:val="0038140B"/>
    <w:rsid w:val="00394C01"/>
    <w:rsid w:val="00396013"/>
    <w:rsid w:val="003A216E"/>
    <w:rsid w:val="003A69D6"/>
    <w:rsid w:val="003B359C"/>
    <w:rsid w:val="003B4674"/>
    <w:rsid w:val="003C69DB"/>
    <w:rsid w:val="003D7BCF"/>
    <w:rsid w:val="003F3121"/>
    <w:rsid w:val="003F34F7"/>
    <w:rsid w:val="0040162A"/>
    <w:rsid w:val="00406A4F"/>
    <w:rsid w:val="00411F16"/>
    <w:rsid w:val="00430402"/>
    <w:rsid w:val="004353C7"/>
    <w:rsid w:val="0043777C"/>
    <w:rsid w:val="00466E3C"/>
    <w:rsid w:val="0049152B"/>
    <w:rsid w:val="00491FCE"/>
    <w:rsid w:val="004A5206"/>
    <w:rsid w:val="00506383"/>
    <w:rsid w:val="00512FAD"/>
    <w:rsid w:val="005560BB"/>
    <w:rsid w:val="005579ED"/>
    <w:rsid w:val="00563315"/>
    <w:rsid w:val="00580977"/>
    <w:rsid w:val="005A39EF"/>
    <w:rsid w:val="005D77E6"/>
    <w:rsid w:val="00602862"/>
    <w:rsid w:val="006323EA"/>
    <w:rsid w:val="006522F1"/>
    <w:rsid w:val="006606E6"/>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73205"/>
    <w:rsid w:val="00997FAA"/>
    <w:rsid w:val="009B470C"/>
    <w:rsid w:val="009D0EC3"/>
    <w:rsid w:val="00A26989"/>
    <w:rsid w:val="00A46EA7"/>
    <w:rsid w:val="00A83901"/>
    <w:rsid w:val="00AD5610"/>
    <w:rsid w:val="00AF11C2"/>
    <w:rsid w:val="00AF2B83"/>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502E6"/>
    <w:rsid w:val="00D66879"/>
    <w:rsid w:val="00DA482B"/>
    <w:rsid w:val="00DA4FC8"/>
    <w:rsid w:val="00DC2A51"/>
    <w:rsid w:val="00DF6132"/>
    <w:rsid w:val="00E006BC"/>
    <w:rsid w:val="00E008B0"/>
    <w:rsid w:val="00E20E5E"/>
    <w:rsid w:val="00E41F22"/>
    <w:rsid w:val="00E5765F"/>
    <w:rsid w:val="00EB39E0"/>
    <w:rsid w:val="00ED5286"/>
    <w:rsid w:val="00EE20CD"/>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E287B-F1D7-46BD-9ED0-230FD1FC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2022-08-04T18:26:00Z</dcterms:created>
  <dcterms:modified xsi:type="dcterms:W3CDTF">2022-08-04T18:26:00Z</dcterms:modified>
</cp:coreProperties>
</file>