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6A65DE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6A65DE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OCTUBRE DE 2019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ESTADO DE SITUACIÓN FINANCIERA ACTIVO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Octubre del 2019)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Efectivos y Equivalentes: Efectivo: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-En efectivo, se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 xml:space="preserve"> tiene un saldo de $269,170.42, donde las cantidades más considerable son: $137,333.28, la cual corresponde al programa Talleres Artísticos.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>Bancos/Tesorería: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(Se detallan las cuentas que son distintas a las que son de recaudación municipal)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-Talleres Artísticos, se tiene un saldo de $147,046.04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Rescate de Espacios Públicos, se tiene un saldo de $164,675.32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Deportiva, se tiene un saldo de $580,122.71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 2015, se tiene un saldo de $349,203.48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FOPADEM 2015, se tiene un saldo de $418,447.15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-FONDEREG 2018, se tiene un saldo de $219.53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-FORTAMUN 2018, se tiene un saldo de $102,218.45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-F.I.S.M. 2019, se tiene un saldo de $1,854,325.71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-F.A.F.S.M. 2019, se tiene un saldo de $7,156,578.72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-Por una Agenda de Igualdad, se tiene un saldo de $8,211.28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-Fondo Jalisco de Animación, se tiene un saldo de $100,000.00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*Inversiones Temporales: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Gasto Corriente, se tiene un saldo de $28,238,055.69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F.I.S.M. 2019, se tiene un saldo de $3,188,909.78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FORTAMUN 2019, se tiene un saldo de $9,311,643.90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Dignificación y Competitividad de Mercados Públicos Municipales, se tiene un saldo de $3,005,326.85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Por una Agenda de Igualdad, se tiene un saldo de $173,331.67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Promoción y Difusión del Municipio de San Juan de los Lagos, se tiene un saldo de $454,002.54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lastRenderedPageBreak/>
              <w:t xml:space="preserve">-Deudores Diversos  por Cobrar a Corto Plazo, se tiene un saldo de $48,878.60 que corresponde a Fondos Fijos o Caja Chicas de cada una de las Cajeras de Caja Única.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-Préstamos otorgados a Corto Plazo, se tiene un saldo de $326,968.00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,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MX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es: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Se tiene un proveedor con el nombre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Karol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Arlette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Se tiene pendiente de recuperar la cantidad de $42,224.00; que corresponde a un pago que el ex tesorero de la Administración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MX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equivocó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   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-Bienes Muebles, se registra la adquisición de una trituradora $6,728.00 y un archivero $13,920.00 para Presidencia; un equipo de cómputo $10,899.36 para la Sindica; un equipo de cómputo para Planeación Urbana; un equipo de cómputo $26,999.00 para Seguridad Pública y Desbrozadoras para Ecología.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Octubre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 se tiene un saldo de $17,035,996.28, en donde: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a)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ab/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MX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se tiene la cantidad de $15</w:t>
            </w:r>
            <w:proofErr w:type="gramStart"/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,797,412.63</w:t>
            </w:r>
            <w:proofErr w:type="gramEnd"/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, de los cuales $15,517,082.22 </w:t>
            </w:r>
            <w:r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  <w:t xml:space="preserve">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i/>
                <w:iCs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*En Cuentas por Pagar a Largo Plazo (ADEFAS), se tiene la cantidad de $4,133,313.67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(El porcentaje que se refleja en cada uno de los conceptos, se calcula en forma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comparativa entre el Presupuesto Aprobado 2019 y el Recaudado del mes de Octubre del 2019)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Impuestos, se recaudó 3.67%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MX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3.22%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Productos, se recaudó 2.66%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Aprovechamientos, se recaudó 2.42%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Participaciones y Aportaciones, se tiene un ingreso del 10.72%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(El porcentaje que se refleja en cada uno de los conceptos, se calcula en forma comparativa entre el Presupuesto Aprobado 2019 y el Ejercido del mes de Octubre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Servicios Personales, se ejerció 7.79%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Materiales y Suministros, se ejerció 9.75%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Servicios Generales, se ejerció 7.85% </w:t>
            </w:r>
          </w:p>
          <w:p w:rsidR="006A65DE" w:rsidRDefault="006A65DE" w:rsidP="006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Transferencias, Asignaciones, Subsidios y Otras Ayudas, se ejerció 11.09%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EE2ECD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9525" r="1397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0E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EE2ECD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9525" r="1397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70E6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6A65DE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6A65DE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6A65DE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6A65DE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6A65DE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ASEJ2019-10-22-05-2020-1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6A65DE"/>
    <w:rsid w:val="00721735"/>
    <w:rsid w:val="007326BD"/>
    <w:rsid w:val="00806603"/>
    <w:rsid w:val="00A45E83"/>
    <w:rsid w:val="00B157EC"/>
    <w:rsid w:val="00BA7910"/>
    <w:rsid w:val="00CD584F"/>
    <w:rsid w:val="00D2796E"/>
    <w:rsid w:val="00D64D9B"/>
    <w:rsid w:val="00EB7BF7"/>
    <w:rsid w:val="00EE2ECD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1E11173F-7077-4821-8C60-65090EC5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2020-06-29T23:59:00Z</dcterms:created>
  <dcterms:modified xsi:type="dcterms:W3CDTF">2020-06-29T23:59:00Z</dcterms:modified>
</cp:coreProperties>
</file>