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216F0D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216F0D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MARZO DE 2019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ESTADO DE SITUACIÓN FINANCIERA ACTIVO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Marzo del 2019)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Efectivos y Equivalentes: Efectivo: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Se tiene un saldo de $701,601.48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>Bancos/Tesorería: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-Talleres Artísticos, se tiene un saldo de $147,037.27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Rescate de Espacios Públicos, se tiene un saldo de $164,665.53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Deportiva, se tiene un saldo de $580,088.22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 2015, se tiene un saldo de $349,181.17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FOPADEM 2015, se tiene un saldo de $418,422.28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-FONDEREG 2018, se tiene un saldo de $219.53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-FORTAMUN 2018, se tiene un saldo de $102,211.96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-Programa Infraestructura Vertiente Espacios Públicos 2018, tiene un saldo de $10.47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-F.I.S.M. 2019, se tiene un saldo de $4,295,427.35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-FORTAMUN 2019, se tiene un saldo de $7,290,183.95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*Inversiones Temporales: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Gasto Corriente, se tiene un saldo de $10,093,626.25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Agua Potable, se tiene un saldo de $10,093,626.25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-Deudores Diversos  por Cobrar a Corto Plazo, se tiene un saldo de $48,878.60 que corresponde a Fondos Fijos o Caja Chicas de cada una de las Cajeras de Caja Única.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-Préstamos otorgados a Corto Plazo, se tiene un saldo de $143,368.00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lastRenderedPageBreak/>
              <w:t xml:space="preserve">-En Otros Derechos a Recibir Efectivo o Equivalentes a Corto Plazo, se tiene un saldo de $24,300.00; que corresponde a Administraciones Anteriores.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,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MX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es: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Se tiene un proveedor con el nombre de Karol Arlette Gallardo, con la cantidad de $17,353.00, a razón de que el sub tesorero de la Administración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Se tiene pendiente de recuperar la cantidad de $42,224.00; que corresponde a un pago que el ex tesorero de la Administración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MX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equivocó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   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Marzo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 se tiene un saldo de $16,681,085.00, en donde: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a)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ab/>
              <w:t>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MX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se tiene la cantidad de $15,805,455.82, de los cuales $15,517,082.22 </w:t>
            </w:r>
            <w:r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  <w:t xml:space="preserve">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i/>
                <w:iCs/>
                <w:sz w:val="23"/>
                <w:szCs w:val="23"/>
                <w:lang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*En Cuentas por Pagar a Largo Plazo, se tiene la cantidad de $4,133,313.67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(El porcentaje que se refleja en cada uno de los conceptos, se calcula en forma comparativa entre el Presupuesto Aprobado 2019 y el Recaudado del mes de Marzo del 2019)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Impuestos, se recaudó 9.46%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MX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11.92%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Productos, se recaudó 7.45%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Aprovechamientos, se recaudó 3.90%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Participaciones y Aportaciones, se tiene un ingreso del 9.71%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(El porcentaje que se refleja en cada uno de los conceptos, se calcula en forma comparativa entre el Presupuesto Aprobado 2019 y el Ejercido del mes de Marzo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Servicios Personales, se ejerció 8.06%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Materiales y Suministros, se ejerció 5.35%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Servicios Generales, se ejerció 5.58% 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Transferencias, Asignaciones, Subsidios y Otras Ayudas, se ejerció 10.28%</w:t>
            </w:r>
          </w:p>
          <w:p w:rsidR="00216F0D" w:rsidRDefault="00216F0D" w:rsidP="002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F4379D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715" r="13970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E44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F4379D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715" r="1397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1A139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216F0D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425DF0" w:rsidRPr="00EB7BF7" w:rsidRDefault="00216F0D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216F0D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1F0913" w:rsidRPr="00EB7BF7" w:rsidRDefault="00216F0D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216F0D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ASEJ2019-03-08-11-2019-1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16F0D"/>
    <w:rsid w:val="002E6C50"/>
    <w:rsid w:val="00301134"/>
    <w:rsid w:val="003F7AB9"/>
    <w:rsid w:val="0040191D"/>
    <w:rsid w:val="004073AF"/>
    <w:rsid w:val="00425DF0"/>
    <w:rsid w:val="00523D61"/>
    <w:rsid w:val="00536F66"/>
    <w:rsid w:val="005B33F8"/>
    <w:rsid w:val="00721735"/>
    <w:rsid w:val="007326BD"/>
    <w:rsid w:val="00806603"/>
    <w:rsid w:val="00A45E83"/>
    <w:rsid w:val="00B157EC"/>
    <w:rsid w:val="00BA7910"/>
    <w:rsid w:val="00CD584F"/>
    <w:rsid w:val="00D2796E"/>
    <w:rsid w:val="00D64D9B"/>
    <w:rsid w:val="00EB7BF7"/>
    <w:rsid w:val="00F13D94"/>
    <w:rsid w:val="00F4379D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864706AE-D43D-4501-8173-47E53010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dcterms:created xsi:type="dcterms:W3CDTF">2019-11-27T15:45:00Z</dcterms:created>
  <dcterms:modified xsi:type="dcterms:W3CDTF">2019-11-27T15:45:00Z</dcterms:modified>
</cp:coreProperties>
</file>