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D15F6F" w:rsidRPr="002802E5" w:rsidRDefault="00D15F6F" w:rsidP="00AB7C2E">
      <w:pPr>
        <w:pStyle w:val="Sinespaciado"/>
        <w:jc w:val="center"/>
        <w:rPr>
          <w:rFonts w:ascii="Arial" w:hAnsi="Arial" w:cs="Arial"/>
          <w:b/>
          <w:sz w:val="24"/>
        </w:rPr>
      </w:pPr>
      <w:r>
        <w:rPr>
          <w:rFonts w:ascii="Arial Narrow" w:eastAsia="Times New Roman" w:hAnsi="Arial Narrow" w:cs="Arial"/>
          <w:b/>
          <w:bCs/>
          <w:color w:val="000000"/>
        </w:rPr>
        <w:t>Constancias</w:t>
      </w:r>
      <w:r w:rsidR="00F97B60">
        <w:rPr>
          <w:rFonts w:ascii="Arial Narrow" w:eastAsia="Times New Roman" w:hAnsi="Arial Narrow" w:cs="Arial"/>
          <w:b/>
          <w:bCs/>
          <w:color w:val="000000"/>
        </w:rPr>
        <w:t xml:space="preserve"> de subdivisión.</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166EB0" w:rsidRPr="00A90164" w:rsidRDefault="004E58D2"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Para tramit</w:t>
            </w:r>
            <w:r w:rsidR="00D15F6F">
              <w:rPr>
                <w:rFonts w:ascii="Arial" w:eastAsia="Times New Roman" w:hAnsi="Arial" w:cs="Arial"/>
                <w:color w:val="000000"/>
              </w:rPr>
              <w:t>ar y expedición d</w:t>
            </w:r>
            <w:r w:rsidR="00F97B60">
              <w:rPr>
                <w:rFonts w:ascii="Arial" w:eastAsia="Times New Roman" w:hAnsi="Arial" w:cs="Arial"/>
                <w:color w:val="000000"/>
              </w:rPr>
              <w:t>e constancias de subdivisión.</w:t>
            </w:r>
            <w:bookmarkStart w:id="0" w:name="_GoBack"/>
            <w:bookmarkEnd w:id="0"/>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lastRenderedPageBreak/>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28" w:rsidRDefault="00BF2C28" w:rsidP="001A0E62">
      <w:pPr>
        <w:pStyle w:val="Sinespaciado"/>
      </w:pPr>
      <w:r>
        <w:separator/>
      </w:r>
    </w:p>
  </w:endnote>
  <w:endnote w:type="continuationSeparator" w:id="0">
    <w:p w:rsidR="00BF2C28" w:rsidRDefault="00BF2C28"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F97B60">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28" w:rsidRDefault="00BF2C28" w:rsidP="001A0E62">
      <w:pPr>
        <w:pStyle w:val="Sinespaciado"/>
      </w:pPr>
      <w:r>
        <w:separator/>
      </w:r>
    </w:p>
  </w:footnote>
  <w:footnote w:type="continuationSeparator" w:id="0">
    <w:p w:rsidR="00BF2C28" w:rsidRDefault="00BF2C28"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66EB0"/>
    <w:rsid w:val="001A0E62"/>
    <w:rsid w:val="00203CE0"/>
    <w:rsid w:val="00242BD1"/>
    <w:rsid w:val="002802E5"/>
    <w:rsid w:val="002F2AD3"/>
    <w:rsid w:val="0031045D"/>
    <w:rsid w:val="00334FB8"/>
    <w:rsid w:val="00335300"/>
    <w:rsid w:val="003E5D5C"/>
    <w:rsid w:val="004E58D2"/>
    <w:rsid w:val="00535FAE"/>
    <w:rsid w:val="00570846"/>
    <w:rsid w:val="005D76D4"/>
    <w:rsid w:val="00627286"/>
    <w:rsid w:val="0063413F"/>
    <w:rsid w:val="00662ADD"/>
    <w:rsid w:val="00686E0B"/>
    <w:rsid w:val="006B39F1"/>
    <w:rsid w:val="006D78F1"/>
    <w:rsid w:val="007216D9"/>
    <w:rsid w:val="007656E3"/>
    <w:rsid w:val="00794C8C"/>
    <w:rsid w:val="007A0684"/>
    <w:rsid w:val="007B1492"/>
    <w:rsid w:val="008244CD"/>
    <w:rsid w:val="00857F8E"/>
    <w:rsid w:val="008E712D"/>
    <w:rsid w:val="0090496B"/>
    <w:rsid w:val="00945015"/>
    <w:rsid w:val="0097258B"/>
    <w:rsid w:val="00A14BC1"/>
    <w:rsid w:val="00A90164"/>
    <w:rsid w:val="00AB7C2E"/>
    <w:rsid w:val="00AE410D"/>
    <w:rsid w:val="00B157CE"/>
    <w:rsid w:val="00B75609"/>
    <w:rsid w:val="00B93253"/>
    <w:rsid w:val="00BF2C28"/>
    <w:rsid w:val="00C40450"/>
    <w:rsid w:val="00C61BFF"/>
    <w:rsid w:val="00CC325E"/>
    <w:rsid w:val="00D15F6F"/>
    <w:rsid w:val="00D62810"/>
    <w:rsid w:val="00DB5322"/>
    <w:rsid w:val="00EF273B"/>
    <w:rsid w:val="00F43126"/>
    <w:rsid w:val="00F44D1F"/>
    <w:rsid w:val="00F97B60"/>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2</cp:revision>
  <cp:lastPrinted>2017-12-21T17:20:00Z</cp:lastPrinted>
  <dcterms:created xsi:type="dcterms:W3CDTF">2020-10-15T16:50:00Z</dcterms:created>
  <dcterms:modified xsi:type="dcterms:W3CDTF">2020-10-15T16:50:00Z</dcterms:modified>
</cp:coreProperties>
</file>