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18" w:rsidRPr="00D66C05" w:rsidRDefault="008B4818" w:rsidP="008B48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8B4818" w:rsidRPr="00D66C05" w:rsidRDefault="008B4818" w:rsidP="008B48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8B4818" w:rsidRPr="00D66C05" w:rsidRDefault="008B4818" w:rsidP="008B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B3E3C" w:rsidRPr="00D66C05" w:rsidRDefault="008B3E3C" w:rsidP="008B3E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8B4818" w:rsidRPr="00D66C05" w:rsidRDefault="008B4818" w:rsidP="008B48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8B4818" w:rsidRPr="00D66C05" w:rsidRDefault="008B4818" w:rsidP="008B48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• </w:t>
      </w:r>
      <w:r>
        <w:rPr>
          <w:rFonts w:ascii="Arial" w:eastAsia="Times New Roman" w:hAnsi="Arial" w:cs="Arial"/>
          <w:color w:val="000000"/>
          <w:sz w:val="20"/>
          <w:szCs w:val="20"/>
        </w:rPr>
        <w:t>Tramitar la transmisión patrimonial de los bienes del autor de la herencia a quienes fueron designados herederos o legatarios en su caso.</w:t>
      </w:r>
    </w:p>
    <w:p w:rsidR="008B4818" w:rsidRPr="00D66C05" w:rsidRDefault="008B4818" w:rsidP="008B48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B3E3C" w:rsidRPr="00D66C05" w:rsidRDefault="008B3E3C" w:rsidP="008B3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B3E3C" w:rsidRDefault="008B3E3C" w:rsidP="008B3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8B3E3C" w:rsidRPr="00D66C05" w:rsidRDefault="008B3E3C" w:rsidP="008B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8B4818" w:rsidRPr="00D66C05" w:rsidRDefault="008B4818" w:rsidP="008B48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8B4818" w:rsidRDefault="008B4818" w:rsidP="008B4818"/>
    <w:p w:rsidR="008B4818" w:rsidRDefault="008B4818" w:rsidP="008B4818"/>
    <w:p w:rsidR="00883F06" w:rsidRDefault="008B3E3C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18"/>
    <w:rsid w:val="008B3042"/>
    <w:rsid w:val="008B3E3C"/>
    <w:rsid w:val="008B4818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D2D01-9376-4E63-B10E-3EA0BE66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2017-10-09T21:42:00Z</dcterms:created>
  <dcterms:modified xsi:type="dcterms:W3CDTF">2017-12-19T18:51:00Z</dcterms:modified>
</cp:coreProperties>
</file>