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F01030">
        <w:rPr>
          <w:rFonts w:ascii="Times New Roman" w:hAnsi="Times New Roman" w:cs="Times New Roman"/>
          <w:sz w:val="28"/>
        </w:rPr>
        <w:t>2</w:t>
      </w:r>
      <w:r w:rsidR="00C37A4D">
        <w:rPr>
          <w:rFonts w:ascii="Times New Roman" w:hAnsi="Times New Roman" w:cs="Times New Roman"/>
          <w:sz w:val="28"/>
        </w:rPr>
        <w:t>5</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267998">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w:t>
      </w:r>
      <w:r w:rsidR="00267998">
        <w:rPr>
          <w:rFonts w:ascii="Times New Roman" w:hAnsi="Times New Roman" w:cs="Times New Roman"/>
          <w:sz w:val="28"/>
        </w:rPr>
        <w:t>CONSEJERO</w:t>
      </w:r>
      <w:r w:rsidR="00686B34">
        <w:rPr>
          <w:rFonts w:ascii="Times New Roman" w:hAnsi="Times New Roman" w:cs="Times New Roman"/>
          <w:sz w:val="28"/>
        </w:rPr>
        <w:t xml:space="preserve"> EN</w:t>
      </w:r>
      <w:r w:rsidR="0044269F">
        <w:rPr>
          <w:rFonts w:ascii="Times New Roman" w:hAnsi="Times New Roman" w:cs="Times New Roman"/>
          <w:sz w:val="28"/>
        </w:rPr>
        <w:t xml:space="preserve"> EL CO</w:t>
      </w:r>
      <w:r w:rsidR="00267998">
        <w:rPr>
          <w:rFonts w:ascii="Times New Roman" w:hAnsi="Times New Roman" w:cs="Times New Roman"/>
          <w:sz w:val="28"/>
        </w:rPr>
        <w:t>NSEJO</w:t>
      </w:r>
      <w:r w:rsidR="0044269F">
        <w:rPr>
          <w:rFonts w:ascii="Times New Roman" w:hAnsi="Times New Roman" w:cs="Times New Roman"/>
          <w:sz w:val="28"/>
        </w:rPr>
        <w:t xml:space="preserve"> </w:t>
      </w:r>
      <w:r w:rsidR="00691706">
        <w:rPr>
          <w:rFonts w:ascii="Times New Roman" w:hAnsi="Times New Roman" w:cs="Times New Roman"/>
          <w:sz w:val="28"/>
        </w:rPr>
        <w:t>MUNICIPAL</w:t>
      </w:r>
      <w:r w:rsidR="002D6181">
        <w:rPr>
          <w:rFonts w:ascii="Times New Roman" w:hAnsi="Times New Roman" w:cs="Times New Roman"/>
          <w:sz w:val="28"/>
        </w:rPr>
        <w:t xml:space="preserve"> </w:t>
      </w:r>
      <w:r w:rsidR="00E31F4B">
        <w:rPr>
          <w:rFonts w:ascii="Times New Roman" w:hAnsi="Times New Roman" w:cs="Times New Roman"/>
          <w:sz w:val="28"/>
        </w:rPr>
        <w:t>DE</w:t>
      </w:r>
      <w:r w:rsidRPr="00AE6091">
        <w:rPr>
          <w:rFonts w:ascii="Times New Roman" w:hAnsi="Times New Roman" w:cs="Times New Roman"/>
          <w:sz w:val="28"/>
        </w:rPr>
        <w:t xml:space="preserve"> </w:t>
      </w:r>
      <w:r w:rsidR="00A50037">
        <w:rPr>
          <w:rFonts w:ascii="Times New Roman" w:hAnsi="Times New Roman" w:cs="Times New Roman"/>
          <w:sz w:val="28"/>
        </w:rPr>
        <w:t xml:space="preserve">DESARROLLO URBANO </w:t>
      </w:r>
      <w:r w:rsidR="00267998">
        <w:rPr>
          <w:rFonts w:ascii="Times New Roman" w:hAnsi="Times New Roman" w:cs="Times New Roman"/>
          <w:sz w:val="28"/>
        </w:rPr>
        <w:t xml:space="preserve">DE </w:t>
      </w:r>
      <w:r w:rsidRPr="00AE6091">
        <w:rPr>
          <w:rFonts w:ascii="Times New Roman" w:hAnsi="Times New Roman" w:cs="Times New Roman"/>
          <w:sz w:val="28"/>
        </w:rPr>
        <w:t>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6462F">
        <w:rPr>
          <w:rFonts w:ascii="Times New Roman" w:hAnsi="Times New Roman" w:cs="Times New Roman"/>
          <w:sz w:val="24"/>
        </w:rPr>
        <w:t>s</w:t>
      </w:r>
      <w:r w:rsidR="002D6181">
        <w:rPr>
          <w:rFonts w:ascii="Times New Roman" w:hAnsi="Times New Roman" w:cs="Times New Roman"/>
          <w:sz w:val="24"/>
        </w:rPr>
        <w:t xml:space="preserve"> </w:t>
      </w:r>
      <w:r w:rsidR="00D34A76">
        <w:rPr>
          <w:rFonts w:ascii="Times New Roman" w:hAnsi="Times New Roman" w:cs="Times New Roman"/>
          <w:sz w:val="24"/>
        </w:rPr>
        <w:t>1</w:t>
      </w:r>
      <w:r w:rsidR="00D91093">
        <w:rPr>
          <w:rFonts w:ascii="Times New Roman" w:hAnsi="Times New Roman" w:cs="Times New Roman"/>
          <w:sz w:val="24"/>
        </w:rPr>
        <w:t xml:space="preserve">0 </w:t>
      </w:r>
      <w:r w:rsidR="007A2B31">
        <w:rPr>
          <w:rFonts w:ascii="Times New Roman" w:hAnsi="Times New Roman" w:cs="Times New Roman"/>
          <w:sz w:val="24"/>
        </w:rPr>
        <w:t>fracción XXXV</w:t>
      </w:r>
      <w:r w:rsidR="00702899">
        <w:rPr>
          <w:rFonts w:ascii="Times New Roman" w:hAnsi="Times New Roman" w:cs="Times New Roman"/>
          <w:sz w:val="24"/>
        </w:rPr>
        <w:t xml:space="preserve">, 37 fracción III, 47 </w:t>
      </w:r>
      <w:r w:rsidR="008513A2">
        <w:rPr>
          <w:rFonts w:ascii="Times New Roman" w:hAnsi="Times New Roman" w:cs="Times New Roman"/>
          <w:sz w:val="24"/>
        </w:rPr>
        <w:t>d</w:t>
      </w:r>
      <w:r w:rsidR="00B01295">
        <w:rPr>
          <w:rFonts w:ascii="Times New Roman" w:hAnsi="Times New Roman" w:cs="Times New Roman"/>
          <w:sz w:val="24"/>
        </w:rPr>
        <w:t xml:space="preserve">el </w:t>
      </w:r>
      <w:r w:rsidR="00702899">
        <w:rPr>
          <w:rFonts w:ascii="Times New Roman" w:hAnsi="Times New Roman" w:cs="Times New Roman"/>
          <w:sz w:val="24"/>
        </w:rPr>
        <w:t>Código Urbano del Estado de Jalisco</w:t>
      </w:r>
      <w:r w:rsidR="00A81639">
        <w:rPr>
          <w:rFonts w:ascii="Times New Roman" w:hAnsi="Times New Roman" w:cs="Times New Roman"/>
          <w:sz w:val="24"/>
        </w:rPr>
        <w:t xml:space="preserve">;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C46D9C">
        <w:rPr>
          <w:rFonts w:ascii="Times New Roman" w:hAnsi="Times New Roman" w:cs="Times New Roman"/>
          <w:sz w:val="24"/>
        </w:rPr>
        <w:t>l</w:t>
      </w:r>
      <w:r w:rsidR="001B73AD">
        <w:rPr>
          <w:rFonts w:ascii="Times New Roman" w:hAnsi="Times New Roman" w:cs="Times New Roman"/>
          <w:sz w:val="24"/>
        </w:rPr>
        <w:t xml:space="preserve"> </w:t>
      </w:r>
      <w:bookmarkStart w:id="0" w:name="_Hlk181097356"/>
      <w:r w:rsidR="00C46D9C">
        <w:rPr>
          <w:rFonts w:ascii="Times New Roman" w:hAnsi="Times New Roman" w:cs="Times New Roman"/>
          <w:b/>
          <w:sz w:val="24"/>
          <w:u w:val="single"/>
        </w:rPr>
        <w:t>CO</w:t>
      </w:r>
      <w:r w:rsidR="00476C71">
        <w:rPr>
          <w:rFonts w:ascii="Times New Roman" w:hAnsi="Times New Roman" w:cs="Times New Roman"/>
          <w:b/>
          <w:sz w:val="24"/>
          <w:u w:val="single"/>
        </w:rPr>
        <w:t xml:space="preserve">NSEJO MUNICIPAL DE </w:t>
      </w:r>
      <w:bookmarkEnd w:id="0"/>
      <w:r w:rsidR="00933C97">
        <w:rPr>
          <w:rFonts w:ascii="Times New Roman" w:hAnsi="Times New Roman" w:cs="Times New Roman"/>
          <w:b/>
          <w:sz w:val="24"/>
          <w:u w:val="single"/>
        </w:rPr>
        <w:t xml:space="preserve">DESARROLLO URBANO </w:t>
      </w:r>
      <w:r w:rsidR="0047282F">
        <w:rPr>
          <w:rFonts w:ascii="Times New Roman" w:hAnsi="Times New Roman" w:cs="Times New Roman"/>
          <w:b/>
          <w:sz w:val="24"/>
          <w:u w:val="single"/>
        </w:rPr>
        <w:t>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CO</w:t>
      </w:r>
      <w:r w:rsidR="00437BAD">
        <w:rPr>
          <w:rFonts w:ascii="Times New Roman" w:hAnsi="Times New Roman" w:cs="Times New Roman"/>
          <w:b/>
          <w:sz w:val="24"/>
          <w:u w:val="single"/>
        </w:rPr>
        <w:t>NSEJO</w:t>
      </w:r>
      <w:r w:rsidR="001B73AD" w:rsidRPr="001B73AD">
        <w:rPr>
          <w:rFonts w:ascii="Times New Roman" w:hAnsi="Times New Roman" w:cs="Times New Roman"/>
          <w:b/>
          <w:sz w:val="24"/>
          <w:u w:val="single"/>
        </w:rPr>
        <w:t xml:space="preserve"> </w:t>
      </w:r>
      <w:r w:rsidR="009A2161">
        <w:rPr>
          <w:rFonts w:ascii="Times New Roman" w:hAnsi="Times New Roman" w:cs="Times New Roman"/>
          <w:b/>
          <w:sz w:val="24"/>
          <w:u w:val="single"/>
        </w:rPr>
        <w:t>M</w:t>
      </w:r>
      <w:r w:rsidR="00437BAD">
        <w:rPr>
          <w:rFonts w:ascii="Times New Roman" w:hAnsi="Times New Roman" w:cs="Times New Roman"/>
          <w:b/>
          <w:sz w:val="24"/>
          <w:u w:val="single"/>
        </w:rPr>
        <w:t>UNICIPAL DE</w:t>
      </w:r>
      <w:r w:rsidR="00933C97">
        <w:rPr>
          <w:rFonts w:ascii="Times New Roman" w:hAnsi="Times New Roman" w:cs="Times New Roman"/>
          <w:b/>
          <w:sz w:val="24"/>
          <w:u w:val="single"/>
        </w:rPr>
        <w:t xml:space="preserve"> DESARROLLO URBANO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C7396E" w:rsidRDefault="00C7396E"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w:t>
      </w:r>
      <w:r w:rsidR="00B519DA">
        <w:rPr>
          <w:szCs w:val="22"/>
        </w:rPr>
        <w:t xml:space="preserve">o </w:t>
      </w:r>
      <w:r w:rsidR="0026462F">
        <w:rPr>
          <w:szCs w:val="22"/>
        </w:rPr>
        <w:t>C</w:t>
      </w:r>
      <w:r w:rsidR="00B519DA">
        <w:rPr>
          <w:szCs w:val="22"/>
        </w:rPr>
        <w:t xml:space="preserve">omités </w:t>
      </w:r>
      <w:r w:rsidR="001E71DC" w:rsidRPr="00FB00A5">
        <w:rPr>
          <w:szCs w:val="22"/>
        </w:rPr>
        <w:t xml:space="preserve">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w:t>
      </w:r>
      <w:r w:rsidR="00437BAD">
        <w:rPr>
          <w:color w:val="auto"/>
          <w:u w:val="single"/>
        </w:rPr>
        <w:t>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9F5A7A" w:rsidRPr="00872820">
        <w:rPr>
          <w:color w:val="auto"/>
          <w:u w:val="single"/>
        </w:rPr>
        <w:t>de</w:t>
      </w:r>
      <w:r w:rsidR="00437BAD">
        <w:rPr>
          <w:color w:val="auto"/>
          <w:u w:val="single"/>
        </w:rPr>
        <w:t xml:space="preserve"> </w:t>
      </w:r>
      <w:r w:rsidR="00995178">
        <w:rPr>
          <w:color w:val="auto"/>
          <w:u w:val="single"/>
        </w:rPr>
        <w:t>Desarrollo Urbano</w:t>
      </w:r>
      <w:r w:rsidR="00437BAD">
        <w:rPr>
          <w:color w:val="auto"/>
          <w:u w:val="single"/>
        </w:rPr>
        <w:t xml:space="preserve"> de</w:t>
      </w:r>
      <w:r w:rsidR="009F5A7A" w:rsidRPr="00872820">
        <w:rPr>
          <w:color w:val="auto"/>
          <w:u w:val="single"/>
        </w:rPr>
        <w:t xml:space="preserv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 xml:space="preserve">La integración y, en su caso renovación de </w:t>
      </w:r>
      <w:r w:rsidR="00FA0859">
        <w:rPr>
          <w:color w:val="auto"/>
        </w:rPr>
        <w:t>integrantes</w:t>
      </w:r>
      <w:r w:rsidRPr="00FB00A5">
        <w:rPr>
          <w:color w:val="auto"/>
        </w:rPr>
        <w:t xml:space="preserve"> </w:t>
      </w:r>
      <w:r w:rsidR="007D1AB5">
        <w:rPr>
          <w:color w:val="auto"/>
        </w:rPr>
        <w:t xml:space="preserve">consejeros </w:t>
      </w:r>
      <w:r w:rsidRPr="00FB00A5">
        <w:rPr>
          <w:color w:val="auto"/>
        </w:rPr>
        <w:t>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 xml:space="preserve">Los </w:t>
      </w:r>
      <w:r w:rsidR="003517CB">
        <w:rPr>
          <w:color w:val="auto"/>
        </w:rPr>
        <w:t>integrantes</w:t>
      </w:r>
      <w:r>
        <w:rPr>
          <w:color w:val="auto"/>
        </w:rPr>
        <w:t xml:space="preserve">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 xml:space="preserve">Las </w:t>
      </w:r>
      <w:r w:rsidR="003517CB">
        <w:rPr>
          <w:szCs w:val="22"/>
        </w:rPr>
        <w:t>integrantes</w:t>
      </w:r>
      <w:r w:rsidRPr="00FB00A5">
        <w:rPr>
          <w:szCs w:val="22"/>
        </w:rPr>
        <w:t xml:space="preserve"> </w:t>
      </w:r>
      <w:r w:rsidR="007D1AB5">
        <w:rPr>
          <w:szCs w:val="22"/>
        </w:rPr>
        <w:t xml:space="preserve">consejeros </w:t>
      </w:r>
      <w:r w:rsidRPr="00FB00A5">
        <w:rPr>
          <w:szCs w:val="22"/>
        </w:rPr>
        <w:t>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 xml:space="preserve">1.- </w:t>
      </w:r>
      <w:r w:rsidR="007D1AB5">
        <w:rPr>
          <w:color w:val="auto"/>
        </w:rPr>
        <w:t>C</w:t>
      </w:r>
      <w:r>
        <w:rPr>
          <w:color w:val="auto"/>
        </w:rPr>
        <w:t>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 xml:space="preserve">PROCEDIMIENTO DE ELECCIÓN DE LOS INTEGRANTES DEL </w:t>
      </w:r>
      <w:r w:rsidR="00693357">
        <w:rPr>
          <w:b/>
          <w:bCs/>
          <w:color w:val="000000"/>
          <w:szCs w:val="20"/>
          <w:u w:val="single"/>
          <w:bdr w:val="none" w:sz="0" w:space="0" w:color="auto" w:frame="1"/>
        </w:rPr>
        <w:t>CO</w:t>
      </w:r>
      <w:r w:rsidR="007918E9">
        <w:rPr>
          <w:b/>
          <w:bCs/>
          <w:color w:val="000000"/>
          <w:szCs w:val="20"/>
          <w:u w:val="single"/>
          <w:bdr w:val="none" w:sz="0" w:space="0" w:color="auto" w:frame="1"/>
        </w:rPr>
        <w:t xml:space="preserve">NSEJO </w:t>
      </w:r>
      <w:r w:rsidR="00B06BE0" w:rsidRPr="005D71EC">
        <w:rPr>
          <w:b/>
          <w:bCs/>
          <w:color w:val="000000"/>
          <w:szCs w:val="20"/>
          <w:u w:val="single"/>
          <w:bdr w:val="none" w:sz="0" w:space="0" w:color="auto" w:frame="1"/>
        </w:rPr>
        <w:t>MUNICIPAL</w:t>
      </w:r>
      <w:r w:rsidR="00665EAA">
        <w:rPr>
          <w:b/>
          <w:bCs/>
          <w:color w:val="000000"/>
          <w:szCs w:val="20"/>
          <w:u w:val="single"/>
          <w:bdr w:val="none" w:sz="0" w:space="0" w:color="auto" w:frame="1"/>
        </w:rPr>
        <w:t xml:space="preserve"> </w:t>
      </w:r>
      <w:r w:rsidR="000871DC">
        <w:rPr>
          <w:b/>
          <w:bCs/>
          <w:color w:val="000000"/>
          <w:szCs w:val="20"/>
          <w:u w:val="single"/>
          <w:bdr w:val="none" w:sz="0" w:space="0" w:color="auto" w:frame="1"/>
        </w:rPr>
        <w:t xml:space="preserve">DE </w:t>
      </w:r>
      <w:r w:rsidR="00995178">
        <w:rPr>
          <w:b/>
          <w:bCs/>
          <w:color w:val="000000"/>
          <w:szCs w:val="20"/>
          <w:u w:val="single"/>
          <w:bdr w:val="none" w:sz="0" w:space="0" w:color="auto" w:frame="1"/>
        </w:rPr>
        <w:t>DESARROLLO URBANO</w:t>
      </w:r>
      <w:r w:rsidR="007918E9">
        <w:rPr>
          <w:b/>
          <w:bCs/>
          <w:color w:val="000000"/>
          <w:szCs w:val="20"/>
          <w:u w:val="single"/>
          <w:bdr w:val="none" w:sz="0" w:space="0" w:color="auto" w:frame="1"/>
        </w:rPr>
        <w:t xml:space="preserve"> DE </w:t>
      </w:r>
      <w:r w:rsidR="000871DC">
        <w:rPr>
          <w:b/>
          <w:bCs/>
          <w:color w:val="000000"/>
          <w:szCs w:val="20"/>
          <w:u w:val="single"/>
          <w:bdr w:val="none" w:sz="0" w:space="0" w:color="auto" w:frame="1"/>
        </w:rPr>
        <w:t>SAN JUAN DE LOS LAGOS</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B4158A" w:rsidRPr="00D563EC" w:rsidRDefault="00B4158A" w:rsidP="00094278">
      <w:pPr>
        <w:pStyle w:val="Default"/>
        <w:jc w:val="both"/>
        <w:rPr>
          <w:color w:val="auto"/>
          <w:u w:val="single"/>
        </w:rPr>
      </w:pPr>
      <w:r>
        <w:rPr>
          <w:color w:val="auto"/>
        </w:rPr>
        <w:tab/>
        <w:t xml:space="preserve">Una vez elegidos los ciudadanos </w:t>
      </w:r>
      <w:r w:rsidR="00665EAA">
        <w:rPr>
          <w:color w:val="auto"/>
        </w:rPr>
        <w:t>integrantes</w:t>
      </w:r>
      <w:r>
        <w:rPr>
          <w:color w:val="auto"/>
        </w:rPr>
        <w:t xml:space="preserve">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w:t>
      </w:r>
      <w:r w:rsidR="0014229E">
        <w:rPr>
          <w:color w:val="auto"/>
          <w:u w:val="single"/>
        </w:rPr>
        <w:t xml:space="preserve">onsejo </w:t>
      </w:r>
      <w:r w:rsidR="000377C5" w:rsidRPr="00872820">
        <w:rPr>
          <w:color w:val="auto"/>
          <w:u w:val="single"/>
        </w:rPr>
        <w:t xml:space="preserve">Municipal </w:t>
      </w:r>
      <w:r w:rsidR="0014229E">
        <w:rPr>
          <w:color w:val="auto"/>
          <w:u w:val="single"/>
        </w:rPr>
        <w:t xml:space="preserve">de </w:t>
      </w:r>
      <w:r w:rsidR="00995178">
        <w:rPr>
          <w:color w:val="auto"/>
          <w:u w:val="single"/>
        </w:rPr>
        <w:t>Desarrollo Urbano</w:t>
      </w:r>
      <w:r w:rsidR="0014229E">
        <w:rPr>
          <w:color w:val="auto"/>
          <w:u w:val="single"/>
        </w:rPr>
        <w:t xml:space="preserve"> </w:t>
      </w:r>
      <w:r w:rsidR="000377C5">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06BE0" w:rsidRDefault="00B06BE0" w:rsidP="00094278">
      <w:pPr>
        <w:pStyle w:val="NormalWeb"/>
        <w:spacing w:before="0" w:beforeAutospacing="0" w:after="0" w:afterAutospacing="0"/>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B06BE0" w:rsidRDefault="00B06BE0" w:rsidP="00AF5206">
      <w:pPr>
        <w:pStyle w:val="NormalWeb"/>
        <w:spacing w:before="0" w:beforeAutospacing="0" w:after="0" w:afterAutospacing="0"/>
        <w:jc w:val="center"/>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w:t>
      </w:r>
      <w:r w:rsidR="00C31661">
        <w:t>4</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 xml:space="preserve">hasta </w:t>
      </w:r>
      <w:r w:rsidR="003209FC">
        <w:t>20</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bookmarkStart w:id="1" w:name="_GoBack"/>
      <w:bookmarkEnd w:id="1"/>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w:t>
      </w:r>
      <w:r w:rsidR="003209FC">
        <w:rPr>
          <w:bCs/>
          <w:color w:val="000000"/>
          <w:szCs w:val="20"/>
          <w:bdr w:val="none" w:sz="0" w:space="0" w:color="auto" w:frame="1"/>
        </w:rPr>
        <w:t>4</w:t>
      </w:r>
      <w:r w:rsidR="00DA79F7">
        <w:rPr>
          <w:bCs/>
          <w:color w:val="000000"/>
          <w:szCs w:val="20"/>
          <w:bdr w:val="none" w:sz="0" w:space="0" w:color="auto" w:frame="1"/>
        </w:rPr>
        <w:t xml:space="preserve"> de </w:t>
      </w:r>
      <w:r w:rsidR="000377C5">
        <w:rPr>
          <w:bCs/>
          <w:color w:val="000000"/>
          <w:szCs w:val="20"/>
          <w:bdr w:val="none" w:sz="0" w:space="0" w:color="auto" w:frame="1"/>
        </w:rPr>
        <w:t>Noviem</w:t>
      </w:r>
      <w:r w:rsidR="00DA79F7">
        <w:rPr>
          <w:bCs/>
          <w:color w:val="000000"/>
          <w:szCs w:val="20"/>
          <w:bdr w:val="none" w:sz="0" w:space="0" w:color="auto" w:frame="1"/>
        </w:rPr>
        <w:t>bre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552E"/>
    <w:rsid w:val="000377C5"/>
    <w:rsid w:val="00052956"/>
    <w:rsid w:val="00077252"/>
    <w:rsid w:val="000871DC"/>
    <w:rsid w:val="00094278"/>
    <w:rsid w:val="000A4C0E"/>
    <w:rsid w:val="000D1768"/>
    <w:rsid w:val="000E46A3"/>
    <w:rsid w:val="000F0CAC"/>
    <w:rsid w:val="0014229E"/>
    <w:rsid w:val="001A6205"/>
    <w:rsid w:val="001B73AD"/>
    <w:rsid w:val="001E71DC"/>
    <w:rsid w:val="00203FF1"/>
    <w:rsid w:val="00231DD1"/>
    <w:rsid w:val="0026462F"/>
    <w:rsid w:val="00267998"/>
    <w:rsid w:val="002A0A2A"/>
    <w:rsid w:val="002B3A76"/>
    <w:rsid w:val="002D6181"/>
    <w:rsid w:val="002D67CC"/>
    <w:rsid w:val="002E453E"/>
    <w:rsid w:val="002E47B2"/>
    <w:rsid w:val="002E74B3"/>
    <w:rsid w:val="003209FC"/>
    <w:rsid w:val="00327479"/>
    <w:rsid w:val="003517CB"/>
    <w:rsid w:val="003870E1"/>
    <w:rsid w:val="003D41FB"/>
    <w:rsid w:val="003F43D0"/>
    <w:rsid w:val="00417877"/>
    <w:rsid w:val="00437BAD"/>
    <w:rsid w:val="0044269F"/>
    <w:rsid w:val="0047282F"/>
    <w:rsid w:val="00476C71"/>
    <w:rsid w:val="004A0683"/>
    <w:rsid w:val="004A7DCC"/>
    <w:rsid w:val="004E387C"/>
    <w:rsid w:val="004F77D5"/>
    <w:rsid w:val="00513B6F"/>
    <w:rsid w:val="00521554"/>
    <w:rsid w:val="00537609"/>
    <w:rsid w:val="00537B10"/>
    <w:rsid w:val="00590AD4"/>
    <w:rsid w:val="005A339B"/>
    <w:rsid w:val="005B7B71"/>
    <w:rsid w:val="005C217E"/>
    <w:rsid w:val="005D71EC"/>
    <w:rsid w:val="005E48F9"/>
    <w:rsid w:val="005F01D8"/>
    <w:rsid w:val="005F22CC"/>
    <w:rsid w:val="005F5248"/>
    <w:rsid w:val="00655C79"/>
    <w:rsid w:val="00665EAA"/>
    <w:rsid w:val="00667CCE"/>
    <w:rsid w:val="00686B34"/>
    <w:rsid w:val="00691706"/>
    <w:rsid w:val="00693357"/>
    <w:rsid w:val="006A7A5F"/>
    <w:rsid w:val="006D05B7"/>
    <w:rsid w:val="006E4C07"/>
    <w:rsid w:val="006F0E55"/>
    <w:rsid w:val="00702690"/>
    <w:rsid w:val="00702899"/>
    <w:rsid w:val="00715D61"/>
    <w:rsid w:val="00755DF4"/>
    <w:rsid w:val="00761F24"/>
    <w:rsid w:val="00770A42"/>
    <w:rsid w:val="007918E9"/>
    <w:rsid w:val="007A2B31"/>
    <w:rsid w:val="007B7B2F"/>
    <w:rsid w:val="007D1AB5"/>
    <w:rsid w:val="007F5C9A"/>
    <w:rsid w:val="007F758F"/>
    <w:rsid w:val="0080539B"/>
    <w:rsid w:val="00823992"/>
    <w:rsid w:val="0082437D"/>
    <w:rsid w:val="008407C5"/>
    <w:rsid w:val="008513A2"/>
    <w:rsid w:val="008602B1"/>
    <w:rsid w:val="00867EBF"/>
    <w:rsid w:val="00872820"/>
    <w:rsid w:val="008744C2"/>
    <w:rsid w:val="008B0B90"/>
    <w:rsid w:val="008F49BC"/>
    <w:rsid w:val="00907A3F"/>
    <w:rsid w:val="00912AB2"/>
    <w:rsid w:val="00933C97"/>
    <w:rsid w:val="00995178"/>
    <w:rsid w:val="009A2161"/>
    <w:rsid w:val="009B14F3"/>
    <w:rsid w:val="009B29B4"/>
    <w:rsid w:val="009B2A64"/>
    <w:rsid w:val="009B775D"/>
    <w:rsid w:val="009F5A7A"/>
    <w:rsid w:val="00A1204C"/>
    <w:rsid w:val="00A50037"/>
    <w:rsid w:val="00A5554B"/>
    <w:rsid w:val="00A71170"/>
    <w:rsid w:val="00A7735A"/>
    <w:rsid w:val="00A81639"/>
    <w:rsid w:val="00A85EAA"/>
    <w:rsid w:val="00A86A12"/>
    <w:rsid w:val="00AB53EF"/>
    <w:rsid w:val="00AE4DBD"/>
    <w:rsid w:val="00AE6091"/>
    <w:rsid w:val="00AF38A7"/>
    <w:rsid w:val="00AF5206"/>
    <w:rsid w:val="00B01295"/>
    <w:rsid w:val="00B06BE0"/>
    <w:rsid w:val="00B4158A"/>
    <w:rsid w:val="00B45FF5"/>
    <w:rsid w:val="00B519DA"/>
    <w:rsid w:val="00B911D3"/>
    <w:rsid w:val="00BB690A"/>
    <w:rsid w:val="00C1312C"/>
    <w:rsid w:val="00C249A8"/>
    <w:rsid w:val="00C31661"/>
    <w:rsid w:val="00C37A4D"/>
    <w:rsid w:val="00C46D9C"/>
    <w:rsid w:val="00C7396E"/>
    <w:rsid w:val="00C73CE3"/>
    <w:rsid w:val="00C97379"/>
    <w:rsid w:val="00CA5363"/>
    <w:rsid w:val="00CB1E5F"/>
    <w:rsid w:val="00CC303B"/>
    <w:rsid w:val="00CD3590"/>
    <w:rsid w:val="00CD4918"/>
    <w:rsid w:val="00D05896"/>
    <w:rsid w:val="00D20EED"/>
    <w:rsid w:val="00D34A76"/>
    <w:rsid w:val="00D432D4"/>
    <w:rsid w:val="00D44D6C"/>
    <w:rsid w:val="00D51E77"/>
    <w:rsid w:val="00D563EC"/>
    <w:rsid w:val="00D839DF"/>
    <w:rsid w:val="00D91093"/>
    <w:rsid w:val="00DA27F5"/>
    <w:rsid w:val="00DA79F7"/>
    <w:rsid w:val="00DE28C6"/>
    <w:rsid w:val="00E077F1"/>
    <w:rsid w:val="00E31F4B"/>
    <w:rsid w:val="00E3469A"/>
    <w:rsid w:val="00E62D85"/>
    <w:rsid w:val="00E65E23"/>
    <w:rsid w:val="00E74B07"/>
    <w:rsid w:val="00E759F7"/>
    <w:rsid w:val="00EC60A5"/>
    <w:rsid w:val="00ED0B0C"/>
    <w:rsid w:val="00ED2FD5"/>
    <w:rsid w:val="00F01030"/>
    <w:rsid w:val="00F126FD"/>
    <w:rsid w:val="00F536B6"/>
    <w:rsid w:val="00F56E79"/>
    <w:rsid w:val="00F94448"/>
    <w:rsid w:val="00FA0859"/>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3F54"/>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257C-AB3F-4F66-9585-8A021596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6224</TotalTime>
  <Pages>7</Pages>
  <Words>2252</Words>
  <Characters>12390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106</cp:revision>
  <cp:lastPrinted>2024-11-14T18:08:00Z</cp:lastPrinted>
  <dcterms:created xsi:type="dcterms:W3CDTF">2024-10-24T18:53:00Z</dcterms:created>
  <dcterms:modified xsi:type="dcterms:W3CDTF">2024-11-14T18:33:00Z</dcterms:modified>
</cp:coreProperties>
</file>